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left" w:leader="none" w:pos="2082"/>
        </w:tabs>
        <w:spacing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Persuasive Communication</w:t>
      </w:r>
      <w:r w:rsidDel="00000000" w:rsidR="00000000" w:rsidRPr="00000000">
        <w:rPr>
          <w:rFonts w:ascii="Calibri" w:cs="Calibri" w:eastAsia="Calibri" w:hAnsi="Calibri"/>
          <w:b w:val="1"/>
          <w:sz w:val="28"/>
          <w:szCs w:val="28"/>
          <w:rtl w:val="0"/>
        </w:rPr>
        <w:t xml:space="preserve"> Overview</w:t>
      </w:r>
      <w:r w:rsidDel="00000000" w:rsidR="00000000" w:rsidRPr="00000000">
        <w:rPr>
          <w:rtl w:val="0"/>
        </w:rPr>
      </w:r>
    </w:p>
    <w:p w:rsidR="00000000" w:rsidDel="00000000" w:rsidP="00000000" w:rsidRDefault="00000000" w:rsidRPr="00000000" w14:paraId="00000002">
      <w:pPr>
        <w:pageBreakBefore w:val="0"/>
        <w:tabs>
          <w:tab w:val="left" w:leader="none" w:pos="2082"/>
        </w:tabs>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pageBreakBefore w:val="0"/>
        <w:tabs>
          <w:tab w:val="left" w:leader="none" w:pos="2082"/>
        </w:tabs>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004">
      <w:pPr>
        <w:pageBreakBefore w:val="0"/>
        <w:tabs>
          <w:tab w:val="left" w:leader="none" w:pos="2082"/>
        </w:tabs>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pageBreakBefore w:val="0"/>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In this experiential learning module, the learner takes on the role of an internal communications coordinator at a medium-sized manufacturing firm called Bolt Plastics. The firm is about to fully automate one production line, requiring the dismissal of 43 employees. The CEO of the company has asked for the communications team’s support in announcing the news about this downsizing to the company.</w:t>
      </w:r>
    </w:p>
    <w:p w:rsidR="00000000" w:rsidDel="00000000" w:rsidP="00000000" w:rsidRDefault="00000000" w:rsidRPr="00000000" w14:paraId="00000006">
      <w:pPr>
        <w:pageBreakBefore w:val="0"/>
        <w:widowControl w:val="0"/>
        <w:spacing w:line="276" w:lineRule="auto"/>
        <w:rPr>
          <w:rFonts w:ascii="Calibri" w:cs="Calibri" w:eastAsia="Calibri" w:hAnsi="Calibri"/>
        </w:rPr>
      </w:pPr>
      <w:r w:rsidDel="00000000" w:rsidR="00000000" w:rsidRPr="00000000">
        <w:rPr>
          <w:rFonts w:ascii="Calibri" w:cs="Calibri" w:eastAsia="Calibri" w:hAnsi="Calibri"/>
          <w:rtl w:val="0"/>
        </w:rPr>
        <w:br w:type="textWrapping"/>
        <w:t xml:space="preserve">The learner will need to carefully review the downsizing proposal and recommend both how the downsizing should be announced, and what information the announcement should include. In order to make this recommendation, the learner will need to understand the state of the company by communicating with various stakeholders, including the CEO herself, and a union representative who is threatening to expose the downsizing rumours to the media. </w:t>
      </w:r>
    </w:p>
    <w:p w:rsidR="00000000" w:rsidDel="00000000" w:rsidP="00000000" w:rsidRDefault="00000000" w:rsidRPr="00000000" w14:paraId="00000007">
      <w:pPr>
        <w:pageBreakBefore w:val="0"/>
        <w:tabs>
          <w:tab w:val="left" w:leader="none" w:pos="2082"/>
        </w:tabs>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pageBreakBefore w:val="0"/>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Learning Objectives</w:t>
      </w:r>
    </w:p>
    <w:p w:rsidR="00000000" w:rsidDel="00000000" w:rsidP="00000000" w:rsidRDefault="00000000" w:rsidRPr="00000000" w14:paraId="00000009">
      <w:pPr>
        <w:pageBreakBefore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pageBreakBefore w:val="0"/>
        <w:spacing w:line="276" w:lineRule="auto"/>
        <w:rPr>
          <w:rFonts w:ascii="Calibri" w:cs="Calibri" w:eastAsia="Calibri" w:hAnsi="Calibri"/>
        </w:rPr>
      </w:pPr>
      <w:r w:rsidDel="00000000" w:rsidR="00000000" w:rsidRPr="00000000">
        <w:rPr>
          <w:rFonts w:ascii="Calibri" w:cs="Calibri" w:eastAsia="Calibri" w:hAnsi="Calibri"/>
          <w:rtl w:val="0"/>
        </w:rPr>
        <w:t xml:space="preserve">Throughout this learning module, the learner will:</w:t>
      </w:r>
    </w:p>
    <w:p w:rsidR="00000000" w:rsidDel="00000000" w:rsidP="00000000" w:rsidRDefault="00000000" w:rsidRPr="00000000" w14:paraId="0000000B">
      <w:pPr>
        <w:pageBreakBefore w:val="0"/>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pageBreakBefore w:val="0"/>
        <w:widowControl w:val="0"/>
        <w:numPr>
          <w:ilvl w:val="0"/>
          <w:numId w:val="4"/>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Identify and compare persuasive communication techniques</w:t>
      </w:r>
    </w:p>
    <w:p w:rsidR="00000000" w:rsidDel="00000000" w:rsidP="00000000" w:rsidRDefault="00000000" w:rsidRPr="00000000" w14:paraId="0000000D">
      <w:pPr>
        <w:pageBreakBefore w:val="0"/>
        <w:widowControl w:val="0"/>
        <w:numPr>
          <w:ilvl w:val="0"/>
          <w:numId w:val="4"/>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Develop and deliver an effective argument</w:t>
      </w:r>
    </w:p>
    <w:p w:rsidR="00000000" w:rsidDel="00000000" w:rsidP="00000000" w:rsidRDefault="00000000" w:rsidRPr="00000000" w14:paraId="0000000E">
      <w:pPr>
        <w:pageBreakBefore w:val="0"/>
        <w:widowControl w:val="0"/>
        <w:numPr>
          <w:ilvl w:val="0"/>
          <w:numId w:val="4"/>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Defend an argument while maintaining professionalism</w:t>
      </w:r>
    </w:p>
    <w:p w:rsidR="00000000" w:rsidDel="00000000" w:rsidP="00000000" w:rsidRDefault="00000000" w:rsidRPr="00000000" w14:paraId="0000000F">
      <w:pPr>
        <w:pageBreakBefore w:val="0"/>
        <w:widowControl w:val="0"/>
        <w:numPr>
          <w:ilvl w:val="0"/>
          <w:numId w:val="4"/>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Recognize and address ethical issues </w:t>
      </w:r>
    </w:p>
    <w:p w:rsidR="00000000" w:rsidDel="00000000" w:rsidP="00000000" w:rsidRDefault="00000000" w:rsidRPr="00000000" w14:paraId="00000010">
      <w:pPr>
        <w:pageBreakBefore w:val="0"/>
        <w:widowControl w:val="0"/>
        <w:numPr>
          <w:ilvl w:val="0"/>
          <w:numId w:val="4"/>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Practice empathy in communication</w:t>
      </w:r>
    </w:p>
    <w:p w:rsidR="00000000" w:rsidDel="00000000" w:rsidP="00000000" w:rsidRDefault="00000000" w:rsidRPr="00000000" w14:paraId="00000011">
      <w:pPr>
        <w:pageBreakBefore w:val="0"/>
        <w:tabs>
          <w:tab w:val="left" w:leader="none" w:pos="2082"/>
        </w:tabs>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pageBreakBefore w:val="0"/>
        <w:tabs>
          <w:tab w:val="left" w:leader="none" w:pos="2082"/>
        </w:tabs>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Skills Experienced and Assessed</w:t>
      </w:r>
    </w:p>
    <w:p w:rsidR="00000000" w:rsidDel="00000000" w:rsidP="00000000" w:rsidRDefault="00000000" w:rsidRPr="00000000" w14:paraId="00000013">
      <w:pPr>
        <w:pageBreakBefore w:val="0"/>
        <w:tabs>
          <w:tab w:val="left" w:leader="none" w:pos="2082"/>
        </w:tabs>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4">
      <w:pPr>
        <w:pageBreakBefore w:val="0"/>
        <w:numPr>
          <w:ilvl w:val="0"/>
          <w:numId w:val="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Gathering information</w:t>
      </w:r>
    </w:p>
    <w:p w:rsidR="00000000" w:rsidDel="00000000" w:rsidP="00000000" w:rsidRDefault="00000000" w:rsidRPr="00000000" w14:paraId="00000015">
      <w:pPr>
        <w:pageBreakBefore w:val="0"/>
        <w:numPr>
          <w:ilvl w:val="0"/>
          <w:numId w:val="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Establishing credibility</w:t>
      </w:r>
    </w:p>
    <w:p w:rsidR="00000000" w:rsidDel="00000000" w:rsidP="00000000" w:rsidRDefault="00000000" w:rsidRPr="00000000" w14:paraId="00000016">
      <w:pPr>
        <w:pageBreakBefore w:val="0"/>
        <w:numPr>
          <w:ilvl w:val="0"/>
          <w:numId w:val="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Emotional intelligence</w:t>
      </w:r>
    </w:p>
    <w:p w:rsidR="00000000" w:rsidDel="00000000" w:rsidP="00000000" w:rsidRDefault="00000000" w:rsidRPr="00000000" w14:paraId="00000017">
      <w:pPr>
        <w:pageBreakBefore w:val="0"/>
        <w:numPr>
          <w:ilvl w:val="0"/>
          <w:numId w:val="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Professional persuasion </w:t>
      </w:r>
    </w:p>
    <w:p w:rsidR="00000000" w:rsidDel="00000000" w:rsidP="00000000" w:rsidRDefault="00000000" w:rsidRPr="00000000" w14:paraId="00000018">
      <w:pPr>
        <w:pageBreakBefore w:val="0"/>
        <w:numPr>
          <w:ilvl w:val="0"/>
          <w:numId w:val="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Managing sensitive information</w:t>
      </w:r>
    </w:p>
    <w:p w:rsidR="00000000" w:rsidDel="00000000" w:rsidP="00000000" w:rsidRDefault="00000000" w:rsidRPr="00000000" w14:paraId="00000019">
      <w:pPr>
        <w:pageBreakBefore w:val="0"/>
        <w:tabs>
          <w:tab w:val="left" w:leader="none" w:pos="2082"/>
        </w:tabs>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pageBreakBefore w:val="0"/>
        <w:tabs>
          <w:tab w:val="left" w:leader="none" w:pos="2082"/>
        </w:tabs>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Example Video Resources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2"/>
          <w:szCs w:val="22"/>
        </w:rPr>
      </w:pPr>
      <w:hyperlink r:id="rId6">
        <w:r w:rsidDel="00000000" w:rsidR="00000000" w:rsidRPr="00000000">
          <w:rPr>
            <w:rFonts w:ascii="Calibri" w:cs="Calibri" w:eastAsia="Calibri" w:hAnsi="Calibri"/>
            <w:color w:val="1155cc"/>
            <w:u w:val="single"/>
            <w:rtl w:val="0"/>
          </w:rPr>
          <w:t xml:space="preserve">Mentor Introduction</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2"/>
          <w:szCs w:val="22"/>
        </w:rPr>
      </w:pPr>
      <w:hyperlink r:id="rId7">
        <w:r w:rsidDel="00000000" w:rsidR="00000000" w:rsidRPr="00000000">
          <w:rPr>
            <w:rFonts w:ascii="Calibri" w:cs="Calibri" w:eastAsia="Calibri" w:hAnsi="Calibri"/>
            <w:color w:val="1155cc"/>
            <w:u w:val="single"/>
            <w:rtl w:val="0"/>
          </w:rPr>
          <w:t xml:space="preserve">Writing for Senior Level Audiences</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F">
      <w:pPr>
        <w:pageBreakBefore w:val="0"/>
        <w:tabs>
          <w:tab w:val="left" w:leader="none" w:pos="2082"/>
        </w:tabs>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20">
      <w:pPr>
        <w:pageBreakBefore w:val="0"/>
        <w:tabs>
          <w:tab w:val="left" w:leader="none" w:pos="2082"/>
        </w:tabs>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Outcome</w:t>
      </w:r>
    </w:p>
    <w:p w:rsidR="00000000" w:rsidDel="00000000" w:rsidP="00000000" w:rsidRDefault="00000000" w:rsidRPr="00000000" w14:paraId="00000021">
      <w:pPr>
        <w:pageBreakBefore w:val="0"/>
        <w:tabs>
          <w:tab w:val="left" w:leader="none" w:pos="2082"/>
        </w:tabs>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2">
      <w:pPr>
        <w:pageBreakBefore w:val="0"/>
        <w:tabs>
          <w:tab w:val="left" w:leader="none" w:pos="2082"/>
        </w:tabs>
        <w:spacing w:line="276" w:lineRule="auto"/>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The learner will experience the challenges of working on a highly sensitive and controversial project. They will navigate diverse perspectives and agendas while practicing critical analysis and emotional intelligence in a volatile business context.</w:t>
      </w:r>
    </w:p>
    <w:p w:rsidR="00000000" w:rsidDel="00000000" w:rsidP="00000000" w:rsidRDefault="00000000" w:rsidRPr="00000000" w14:paraId="00000023">
      <w:pPr>
        <w:pageBreakBefore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pageBreakBefore w:val="0"/>
        <w:tabs>
          <w:tab w:val="left" w:leader="none" w:pos="2082"/>
        </w:tabs>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Timeline</w:t>
      </w:r>
    </w:p>
    <w:p w:rsidR="00000000" w:rsidDel="00000000" w:rsidP="00000000" w:rsidRDefault="00000000" w:rsidRPr="00000000" w14:paraId="00000025">
      <w:pPr>
        <w:pageBreakBefore w:val="0"/>
        <w:tabs>
          <w:tab w:val="left" w:leader="none" w:pos="2082"/>
        </w:tabs>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pageBreakBefore w:val="0"/>
        <w:numPr>
          <w:ilvl w:val="0"/>
          <w:numId w:val="3"/>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The asynchronous learning module will take learners 2 hours to complete</w:t>
      </w:r>
    </w:p>
    <w:p w:rsidR="00000000" w:rsidDel="00000000" w:rsidP="00000000" w:rsidRDefault="00000000" w:rsidRPr="00000000" w14:paraId="00000027">
      <w:pPr>
        <w:pageBreakBefore w:val="0"/>
        <w:numPr>
          <w:ilvl w:val="0"/>
          <w:numId w:val="3"/>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Plus learning module will take learners 2.5 hours to complete</w:t>
      </w:r>
    </w:p>
    <w:p w:rsidR="00000000" w:rsidDel="00000000" w:rsidP="00000000" w:rsidRDefault="00000000" w:rsidRPr="00000000" w14:paraId="00000028">
      <w:pPr>
        <w:pageBreakBefore w:val="0"/>
        <w:numPr>
          <w:ilvl w:val="0"/>
          <w:numId w:val="3"/>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This learning module typically runs over a period of 2 weeks</w:t>
      </w:r>
      <w:r w:rsidDel="00000000" w:rsidR="00000000" w:rsidRPr="00000000">
        <w:rPr>
          <w:rtl w:val="0"/>
        </w:rPr>
      </w:r>
    </w:p>
    <w:p w:rsidR="00000000" w:rsidDel="00000000" w:rsidP="00000000" w:rsidRDefault="00000000" w:rsidRPr="00000000" w14:paraId="00000029">
      <w:pPr>
        <w:pageBreakBefore w:val="0"/>
        <w:tabs>
          <w:tab w:val="left" w:leader="none" w:pos="2082"/>
        </w:tabs>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tabs>
          <w:tab w:val="left" w:leader="none" w:pos="2082"/>
        </w:tabs>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Implementation Options</w:t>
      </w:r>
    </w:p>
    <w:p w:rsidR="00000000" w:rsidDel="00000000" w:rsidP="00000000" w:rsidRDefault="00000000" w:rsidRPr="00000000" w14:paraId="0000002B">
      <w:pPr>
        <w:tabs>
          <w:tab w:val="left" w:leader="none" w:pos="2082"/>
        </w:tabs>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C">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There are two options available for the implementation of the learning module: </w:t>
      </w:r>
    </w:p>
    <w:p w:rsidR="00000000" w:rsidDel="00000000" w:rsidP="00000000" w:rsidRDefault="00000000" w:rsidRPr="00000000" w14:paraId="0000002D">
      <w:pPr>
        <w:widowControl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widowControl w:val="0"/>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i w:val="1"/>
          <w:rtl w:val="0"/>
        </w:rPr>
        <w:t xml:space="preserve">Persuasive Communication</w:t>
      </w:r>
      <w:r w:rsidDel="00000000" w:rsidR="00000000" w:rsidRPr="00000000">
        <w:rPr>
          <w:rFonts w:ascii="Calibri" w:cs="Calibri" w:eastAsia="Calibri" w:hAnsi="Calibri"/>
          <w:rtl w:val="0"/>
        </w:rPr>
        <w:t xml:space="preserve">: The learning module is run asynchronously and without instructor intervention. It is available on-demand for learners to access the experience when they choose. Instructors can choose to provide feedback to learners on key interactions and activities. </w:t>
      </w:r>
    </w:p>
    <w:p w:rsidR="00000000" w:rsidDel="00000000" w:rsidP="00000000" w:rsidRDefault="00000000" w:rsidRPr="00000000" w14:paraId="0000002F">
      <w:pPr>
        <w:widowControl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widowControl w:val="0"/>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i w:val="1"/>
          <w:rtl w:val="0"/>
        </w:rPr>
        <w:t xml:space="preserve">Persuasive Communication Plus</w:t>
      </w:r>
      <w:r w:rsidDel="00000000" w:rsidR="00000000" w:rsidRPr="00000000">
        <w:rPr>
          <w:rFonts w:ascii="Calibri" w:cs="Calibri" w:eastAsia="Calibri" w:hAnsi="Calibri"/>
          <w:rtl w:val="0"/>
        </w:rPr>
        <w:t xml:space="preserve">: There is a final task in which the learner writes a recommendation report. The learner submits this task as an assignment on the platform. The instructor grades this final deliverable and provides individualized feedback to learners. </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ageBreakBefore w:val="0"/>
      <w:spacing w:line="276" w:lineRule="auto"/>
      <w:rPr>
        <w:rFonts w:ascii="Calibri" w:cs="Calibri" w:eastAsia="Calibri" w:hAnsi="Calibri"/>
        <w:sz w:val="20"/>
        <w:szCs w:val="20"/>
      </w:rPr>
    </w:pPr>
    <w:r w:rsidDel="00000000" w:rsidR="00000000" w:rsidRPr="00000000">
      <w:rPr>
        <w:rFonts w:ascii="Calibri" w:cs="Calibri" w:eastAsia="Calibri" w:hAnsi="Calibri"/>
      </w:rPr>
      <w:drawing>
        <wp:inline distB="114300" distT="114300" distL="114300" distR="114300">
          <wp:extent cx="1758043" cy="4048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58043" cy="404813"/>
                  </a:xfrm>
                  <a:prstGeom prst="rect"/>
                  <a:ln/>
                </pic:spPr>
              </pic:pic>
            </a:graphicData>
          </a:graphic>
        </wp:inline>
      </w:drawing>
    </w:r>
    <w:r w:rsidDel="00000000" w:rsidR="00000000" w:rsidRPr="00000000">
      <w:rPr>
        <w:rFonts w:ascii="Calibri" w:cs="Calibri" w:eastAsia="Calibri" w:hAnsi="Calibri"/>
        <w:rtl w:val="0"/>
      </w:rPr>
      <w:tab/>
      <w:tab/>
      <w:tab/>
      <w:tab/>
      <w:tab/>
      <w:tab/>
      <w:tab/>
      <w:tab/>
    </w:r>
    <w:r w:rsidDel="00000000" w:rsidR="00000000" w:rsidRPr="00000000">
      <w:rPr>
        <w:rFonts w:ascii="Calibri" w:cs="Calibri" w:eastAsia="Calibri" w:hAnsi="Calibri"/>
        <w:sz w:val="20"/>
        <w:szCs w:val="20"/>
        <w:rtl w:val="0"/>
      </w:rPr>
      <w:t xml:space="preserve">June 2022</w:t>
    </w:r>
  </w:p>
  <w:p w:rsidR="00000000" w:rsidDel="00000000" w:rsidP="00000000" w:rsidRDefault="00000000" w:rsidRPr="00000000" w14:paraId="00000033">
    <w:pPr>
      <w:pageBreakBefore w:val="0"/>
      <w:spacing w:line="240" w:lineRule="auto"/>
      <w:rPr>
        <w:rFonts w:ascii="Calibri" w:cs="Calibri" w:eastAsia="Calibri" w:hAnsi="Calibri"/>
        <w:sz w:val="24"/>
        <w:szCs w:val="24"/>
      </w:rPr>
    </w:pPr>
    <w:bookmarkStart w:colFirst="0" w:colLast="0" w:name="_uexqdiv89v92" w:id="1"/>
    <w:bookmarkEnd w:id="1"/>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metroslearning-1.wistia.com/medias/v804wp0xwk" TargetMode="External"/><Relationship Id="rId7" Type="http://schemas.openxmlformats.org/officeDocument/2006/relationships/hyperlink" Target="https://ametroslearning-1.wistia.com/medias/y5nks6ucz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