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left" w:leader="none" w:pos="2082"/>
        </w:tabs>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Training and Development Overview</w:t>
      </w:r>
    </w:p>
    <w:p w:rsidR="00000000" w:rsidDel="00000000" w:rsidP="00000000" w:rsidRDefault="00000000" w:rsidRPr="00000000" w14:paraId="00000002">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ageBreakBefore w:val="0"/>
        <w:tabs>
          <w:tab w:val="left" w:leader="none" w:pos="2082"/>
        </w:tabs>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Summary</w:t>
      </w:r>
      <w:r w:rsidDel="00000000" w:rsidR="00000000" w:rsidRPr="00000000">
        <w:rPr>
          <w:rtl w:val="0"/>
        </w:rPr>
      </w:r>
    </w:p>
    <w:p w:rsidR="00000000" w:rsidDel="00000000" w:rsidP="00000000" w:rsidRDefault="00000000" w:rsidRPr="00000000" w14:paraId="00000004">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learner takes on the role of a training and development specialist in the Human Resources department at Intuition Wells, a mid-sized information technology company specializing in cyber security. </w:t>
      </w:r>
    </w:p>
    <w:p w:rsidR="00000000" w:rsidDel="00000000" w:rsidP="00000000" w:rsidRDefault="00000000" w:rsidRPr="00000000" w14:paraId="00000006">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leadership team at Intuition Wells is fully committed to their employees, and has made it clear that they are the company’s most important asset. To support this commitment, the company has implemented an employee wellness and retention program. This program includes trained chefs to make healthy meals for staff, as well as wellness professionals such as private nurses, personal trainers, and yoga instructors. </w:t>
      </w:r>
    </w:p>
    <w:p w:rsidR="00000000" w:rsidDel="00000000" w:rsidP="00000000" w:rsidRDefault="00000000" w:rsidRPr="00000000" w14:paraId="00000008">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the wellness program has been a success in some regards, the company has received complaints about it. For this reason, they are hoping to support the program through training and development. To accomplish this, the learner will need to complete a needs analysis for one of our four wellness jobs (professional chef, registered nurse, yoga instructor, and personal trainer). Then, they will need to create a training plan to correct the performance gaps identified in the needs analysis. </w:t>
      </w:r>
    </w:p>
    <w:p w:rsidR="00000000" w:rsidDel="00000000" w:rsidP="00000000" w:rsidRDefault="00000000" w:rsidRPr="00000000" w14:paraId="0000000A">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pageBreakBefore w:val="0"/>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C">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pageBreakBefore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Throughout the learning module, the learner will:</w:t>
      </w:r>
    </w:p>
    <w:p w:rsidR="00000000" w:rsidDel="00000000" w:rsidP="00000000" w:rsidRDefault="00000000" w:rsidRPr="00000000" w14:paraId="0000000E">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pageBreakBefore w:val="0"/>
        <w:numPr>
          <w:ilvl w:val="0"/>
          <w:numId w:val="3"/>
        </w:numPr>
        <w:spacing w:line="276" w:lineRule="auto"/>
        <w:ind w:left="720" w:hanging="360"/>
        <w:rPr>
          <w:sz w:val="20"/>
          <w:szCs w:val="20"/>
        </w:rPr>
      </w:pPr>
      <w:r w:rsidDel="00000000" w:rsidR="00000000" w:rsidRPr="00000000">
        <w:rPr>
          <w:rFonts w:ascii="Calibri" w:cs="Calibri" w:eastAsia="Calibri" w:hAnsi="Calibri"/>
          <w:sz w:val="24"/>
          <w:szCs w:val="24"/>
          <w:rtl w:val="0"/>
        </w:rPr>
        <w:t xml:space="preserve">Conduct a basic organizational analysis</w:t>
      </w:r>
    </w:p>
    <w:p w:rsidR="00000000" w:rsidDel="00000000" w:rsidP="00000000" w:rsidRDefault="00000000" w:rsidRPr="00000000" w14:paraId="00000010">
      <w:pPr>
        <w:pageBreakBefore w:val="0"/>
        <w:numPr>
          <w:ilvl w:val="0"/>
          <w:numId w:val="3"/>
        </w:numPr>
        <w:spacing w:line="276" w:lineRule="auto"/>
        <w:ind w:left="720" w:hanging="360"/>
        <w:rPr>
          <w:sz w:val="20"/>
          <w:szCs w:val="20"/>
        </w:rPr>
      </w:pPr>
      <w:r w:rsidDel="00000000" w:rsidR="00000000" w:rsidRPr="00000000">
        <w:rPr>
          <w:rFonts w:ascii="Calibri" w:cs="Calibri" w:eastAsia="Calibri" w:hAnsi="Calibri"/>
          <w:sz w:val="24"/>
          <w:szCs w:val="24"/>
          <w:rtl w:val="0"/>
        </w:rPr>
        <w:t xml:space="preserve">Create questionnaires for persons and task analysis</w:t>
      </w:r>
    </w:p>
    <w:p w:rsidR="00000000" w:rsidDel="00000000" w:rsidP="00000000" w:rsidRDefault="00000000" w:rsidRPr="00000000" w14:paraId="00000011">
      <w:pPr>
        <w:pageBreakBefore w:val="0"/>
        <w:numPr>
          <w:ilvl w:val="0"/>
          <w:numId w:val="3"/>
        </w:numPr>
        <w:spacing w:line="276" w:lineRule="auto"/>
        <w:ind w:left="720" w:hanging="360"/>
        <w:rPr>
          <w:sz w:val="20"/>
          <w:szCs w:val="20"/>
        </w:rPr>
      </w:pPr>
      <w:r w:rsidDel="00000000" w:rsidR="00000000" w:rsidRPr="00000000">
        <w:rPr>
          <w:rFonts w:ascii="Calibri" w:cs="Calibri" w:eastAsia="Calibri" w:hAnsi="Calibri"/>
          <w:sz w:val="24"/>
          <w:szCs w:val="24"/>
          <w:rtl w:val="0"/>
        </w:rPr>
        <w:t xml:space="preserve">Identify learning and performance gaps</w:t>
      </w:r>
    </w:p>
    <w:p w:rsidR="00000000" w:rsidDel="00000000" w:rsidP="00000000" w:rsidRDefault="00000000" w:rsidRPr="00000000" w14:paraId="00000012">
      <w:pPr>
        <w:pageBreakBefore w:val="0"/>
        <w:numPr>
          <w:ilvl w:val="0"/>
          <w:numId w:val="3"/>
        </w:numPr>
        <w:spacing w:line="276" w:lineRule="auto"/>
        <w:ind w:left="720" w:hanging="360"/>
        <w:rPr>
          <w:sz w:val="20"/>
          <w:szCs w:val="20"/>
        </w:rPr>
      </w:pPr>
      <w:r w:rsidDel="00000000" w:rsidR="00000000" w:rsidRPr="00000000">
        <w:rPr>
          <w:rFonts w:ascii="Calibri" w:cs="Calibri" w:eastAsia="Calibri" w:hAnsi="Calibri"/>
          <w:sz w:val="24"/>
          <w:szCs w:val="24"/>
          <w:rtl w:val="0"/>
        </w:rPr>
        <w:t xml:space="preserve">Design a training plan to correct performance gaps by selecting appropriate training methods</w:t>
      </w:r>
      <w:r w:rsidDel="00000000" w:rsidR="00000000" w:rsidRPr="00000000">
        <w:rPr>
          <w:rtl w:val="0"/>
        </w:rPr>
      </w:r>
    </w:p>
    <w:p w:rsidR="00000000" w:rsidDel="00000000" w:rsidP="00000000" w:rsidRDefault="00000000" w:rsidRPr="00000000" w14:paraId="00000013">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pageBreakBefore w:val="0"/>
        <w:tabs>
          <w:tab w:val="left" w:leader="none" w:pos="2082"/>
        </w:tabs>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Skills Experienced and Assessed</w:t>
      </w:r>
    </w:p>
    <w:p w:rsidR="00000000" w:rsidDel="00000000" w:rsidP="00000000" w:rsidRDefault="00000000" w:rsidRPr="00000000" w14:paraId="00000015">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pageBreakBefore w:val="0"/>
        <w:numPr>
          <w:ilvl w:val="0"/>
          <w:numId w:val="2"/>
        </w:numPr>
        <w:spacing w:line="276" w:lineRule="auto"/>
        <w:ind w:left="720" w:hanging="360"/>
        <w:rPr>
          <w:sz w:val="24"/>
          <w:szCs w:val="24"/>
        </w:rPr>
      </w:pPr>
      <w:r w:rsidDel="00000000" w:rsidR="00000000" w:rsidRPr="00000000">
        <w:rPr>
          <w:rFonts w:ascii="Calibri" w:cs="Calibri" w:eastAsia="Calibri" w:hAnsi="Calibri"/>
          <w:sz w:val="24"/>
          <w:szCs w:val="24"/>
          <w:rtl w:val="0"/>
        </w:rPr>
        <w:t xml:space="preserve">Navigating complex workplace dynamics </w:t>
      </w:r>
    </w:p>
    <w:p w:rsidR="00000000" w:rsidDel="00000000" w:rsidP="00000000" w:rsidRDefault="00000000" w:rsidRPr="00000000" w14:paraId="00000017">
      <w:pPr>
        <w:pageBreakBefore w:val="0"/>
        <w:numPr>
          <w:ilvl w:val="0"/>
          <w:numId w:val="2"/>
        </w:numPr>
        <w:spacing w:line="276" w:lineRule="auto"/>
        <w:ind w:left="720" w:hanging="360"/>
        <w:rPr>
          <w:sz w:val="24"/>
          <w:szCs w:val="24"/>
        </w:rPr>
      </w:pPr>
      <w:r w:rsidDel="00000000" w:rsidR="00000000" w:rsidRPr="00000000">
        <w:rPr>
          <w:rFonts w:ascii="Calibri" w:cs="Calibri" w:eastAsia="Calibri" w:hAnsi="Calibri"/>
          <w:sz w:val="24"/>
          <w:szCs w:val="24"/>
          <w:rtl w:val="0"/>
        </w:rPr>
        <w:t xml:space="preserve">Research</w:t>
      </w:r>
    </w:p>
    <w:p w:rsidR="00000000" w:rsidDel="00000000" w:rsidP="00000000" w:rsidRDefault="00000000" w:rsidRPr="00000000" w14:paraId="00000018">
      <w:pPr>
        <w:pageBreakBefore w:val="0"/>
        <w:numPr>
          <w:ilvl w:val="0"/>
          <w:numId w:val="2"/>
        </w:numPr>
        <w:spacing w:line="276" w:lineRule="auto"/>
        <w:ind w:left="720" w:hanging="360"/>
        <w:rPr>
          <w:sz w:val="24"/>
          <w:szCs w:val="24"/>
        </w:rPr>
      </w:pPr>
      <w:r w:rsidDel="00000000" w:rsidR="00000000" w:rsidRPr="00000000">
        <w:rPr>
          <w:rFonts w:ascii="Calibri" w:cs="Calibri" w:eastAsia="Calibri" w:hAnsi="Calibri"/>
          <w:sz w:val="24"/>
          <w:szCs w:val="24"/>
          <w:rtl w:val="0"/>
        </w:rPr>
        <w:t xml:space="preserve">Critical thinking</w:t>
      </w:r>
    </w:p>
    <w:p w:rsidR="00000000" w:rsidDel="00000000" w:rsidP="00000000" w:rsidRDefault="00000000" w:rsidRPr="00000000" w14:paraId="00000019">
      <w:pPr>
        <w:pageBreakBefore w:val="0"/>
        <w:numPr>
          <w:ilvl w:val="0"/>
          <w:numId w:val="2"/>
        </w:numPr>
        <w:spacing w:line="276" w:lineRule="auto"/>
        <w:ind w:left="720" w:hanging="360"/>
        <w:rPr>
          <w:sz w:val="24"/>
          <w:szCs w:val="24"/>
        </w:rPr>
      </w:pPr>
      <w:r w:rsidDel="00000000" w:rsidR="00000000" w:rsidRPr="00000000">
        <w:rPr>
          <w:rFonts w:ascii="Calibri" w:cs="Calibri" w:eastAsia="Calibri" w:hAnsi="Calibri"/>
          <w:sz w:val="24"/>
          <w:szCs w:val="24"/>
          <w:rtl w:val="0"/>
        </w:rPr>
        <w:t xml:space="preserve">Persuasion </w:t>
      </w:r>
    </w:p>
    <w:p w:rsidR="00000000" w:rsidDel="00000000" w:rsidP="00000000" w:rsidRDefault="00000000" w:rsidRPr="00000000" w14:paraId="0000001A">
      <w:pPr>
        <w:pageBreakBefore w:val="0"/>
        <w:numPr>
          <w:ilvl w:val="0"/>
          <w:numId w:val="2"/>
        </w:numPr>
        <w:spacing w:line="276" w:lineRule="auto"/>
        <w:ind w:left="720" w:hanging="360"/>
        <w:rPr>
          <w:sz w:val="24"/>
          <w:szCs w:val="24"/>
        </w:rPr>
      </w:pPr>
      <w:r w:rsidDel="00000000" w:rsidR="00000000" w:rsidRPr="00000000">
        <w:rPr>
          <w:rFonts w:ascii="Calibri" w:cs="Calibri" w:eastAsia="Calibri" w:hAnsi="Calibri"/>
          <w:sz w:val="24"/>
          <w:szCs w:val="24"/>
          <w:rtl w:val="0"/>
        </w:rPr>
        <w:t xml:space="preserve">Business acumen</w:t>
      </w:r>
    </w:p>
    <w:p w:rsidR="00000000" w:rsidDel="00000000" w:rsidP="00000000" w:rsidRDefault="00000000" w:rsidRPr="00000000" w14:paraId="0000001B">
      <w:pPr>
        <w:pageBreakBefore w:val="0"/>
        <w:numPr>
          <w:ilvl w:val="0"/>
          <w:numId w:val="2"/>
        </w:numPr>
        <w:spacing w:line="276" w:lineRule="auto"/>
        <w:ind w:left="720" w:hanging="360"/>
        <w:rPr>
          <w:sz w:val="24"/>
          <w:szCs w:val="24"/>
        </w:rPr>
      </w:pPr>
      <w:r w:rsidDel="00000000" w:rsidR="00000000" w:rsidRPr="00000000">
        <w:rPr>
          <w:rFonts w:ascii="Calibri" w:cs="Calibri" w:eastAsia="Calibri" w:hAnsi="Calibri"/>
          <w:sz w:val="24"/>
          <w:szCs w:val="24"/>
          <w:rtl w:val="0"/>
        </w:rPr>
        <w:t xml:space="preserve">Communication</w:t>
      </w:r>
      <w:r w:rsidDel="00000000" w:rsidR="00000000" w:rsidRPr="00000000">
        <w:rPr>
          <w:rtl w:val="0"/>
        </w:rPr>
      </w:r>
    </w:p>
    <w:p w:rsidR="00000000" w:rsidDel="00000000" w:rsidP="00000000" w:rsidRDefault="00000000" w:rsidRPr="00000000" w14:paraId="0000001C">
      <w:pPr>
        <w:pageBreakBefore w:val="0"/>
        <w:tabs>
          <w:tab w:val="left" w:leader="none" w:pos="2082"/>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pageBreakBefore w:val="0"/>
        <w:widowControl w:val="0"/>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Example Video Resources</w:t>
      </w:r>
    </w:p>
    <w:p w:rsidR="00000000" w:rsidDel="00000000" w:rsidP="00000000" w:rsidRDefault="00000000" w:rsidRPr="00000000" w14:paraId="0000001E">
      <w:pPr>
        <w:pageBreakBefore w:val="0"/>
        <w:widowControl w:val="0"/>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F">
      <w:pPr>
        <w:pageBreakBefore w:val="0"/>
        <w:widowControl w:val="0"/>
        <w:numPr>
          <w:ilvl w:val="0"/>
          <w:numId w:val="4"/>
        </w:numPr>
        <w:spacing w:line="276" w:lineRule="auto"/>
        <w:ind w:left="720" w:hanging="360"/>
        <w:rPr>
          <w:rFonts w:ascii="Calibri" w:cs="Calibri" w:eastAsia="Calibri" w:hAnsi="Calibri"/>
          <w:sz w:val="20"/>
          <w:szCs w:val="20"/>
        </w:rPr>
      </w:pPr>
      <w:hyperlink r:id="rId6">
        <w:r w:rsidDel="00000000" w:rsidR="00000000" w:rsidRPr="00000000">
          <w:rPr>
            <w:rFonts w:ascii="Calibri" w:cs="Calibri" w:eastAsia="Calibri" w:hAnsi="Calibri"/>
            <w:color w:val="1155cc"/>
            <w:sz w:val="24"/>
            <w:szCs w:val="24"/>
            <w:u w:val="single"/>
            <w:rtl w:val="0"/>
          </w:rPr>
          <w:t xml:space="preserve">Platform Introduction</w:t>
        </w:r>
      </w:hyperlink>
      <w:r w:rsidDel="00000000" w:rsidR="00000000" w:rsidRPr="00000000">
        <w:rPr>
          <w:rtl w:val="0"/>
        </w:rPr>
      </w:r>
    </w:p>
    <w:p w:rsidR="00000000" w:rsidDel="00000000" w:rsidP="00000000" w:rsidRDefault="00000000" w:rsidRPr="00000000" w14:paraId="00000020">
      <w:pPr>
        <w:pageBreakBefore w:val="0"/>
        <w:widowControl w:val="0"/>
        <w:numPr>
          <w:ilvl w:val="0"/>
          <w:numId w:val="4"/>
        </w:numPr>
        <w:spacing w:line="276" w:lineRule="auto"/>
        <w:ind w:left="720" w:hanging="360"/>
        <w:rPr>
          <w:rFonts w:ascii="Calibri" w:cs="Calibri" w:eastAsia="Calibri" w:hAnsi="Calibri"/>
          <w:sz w:val="20"/>
          <w:szCs w:val="20"/>
        </w:rPr>
      </w:pPr>
      <w:hyperlink r:id="rId7">
        <w:r w:rsidDel="00000000" w:rsidR="00000000" w:rsidRPr="00000000">
          <w:rPr>
            <w:rFonts w:ascii="Calibri" w:cs="Calibri" w:eastAsia="Calibri" w:hAnsi="Calibri"/>
            <w:color w:val="1155cc"/>
            <w:sz w:val="24"/>
            <w:szCs w:val="24"/>
            <w:u w:val="single"/>
            <w:rtl w:val="0"/>
          </w:rPr>
          <w:t xml:space="preserve">Organizational Analysis </w:t>
        </w:r>
      </w:hyperlink>
      <w:r w:rsidDel="00000000" w:rsidR="00000000" w:rsidRPr="00000000">
        <w:rPr>
          <w:rtl w:val="0"/>
        </w:rPr>
      </w:r>
    </w:p>
    <w:p w:rsidR="00000000" w:rsidDel="00000000" w:rsidP="00000000" w:rsidRDefault="00000000" w:rsidRPr="00000000" w14:paraId="00000021">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pageBreakBefore w:val="0"/>
        <w:tabs>
          <w:tab w:val="left" w:leader="none" w:pos="2082"/>
        </w:tabs>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Outcome</w:t>
      </w:r>
      <w:r w:rsidDel="00000000" w:rsidR="00000000" w:rsidRPr="00000000">
        <w:rPr>
          <w:rtl w:val="0"/>
        </w:rPr>
      </w:r>
    </w:p>
    <w:p w:rsidR="00000000" w:rsidDel="00000000" w:rsidP="00000000" w:rsidRDefault="00000000" w:rsidRPr="00000000" w14:paraId="00000023">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Training and Development experiential learning module provides learners with an opportunity to develop and apply the knowledge and skills that they have learned in senior level human resources courses at the undergraduate or graduate level. </w:t>
      </w:r>
    </w:p>
    <w:p w:rsidR="00000000" w:rsidDel="00000000" w:rsidP="00000000" w:rsidRDefault="00000000" w:rsidRPr="00000000" w14:paraId="00000025">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pageBreakBefore w:val="0"/>
        <w:tabs>
          <w:tab w:val="left" w:leader="none" w:pos="2082"/>
        </w:tabs>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Timeline</w:t>
      </w:r>
    </w:p>
    <w:p w:rsidR="00000000" w:rsidDel="00000000" w:rsidP="00000000" w:rsidRDefault="00000000" w:rsidRPr="00000000" w14:paraId="00000027">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pageBreakBefore w:val="0"/>
        <w:numPr>
          <w:ilvl w:val="0"/>
          <w:numId w:val="1"/>
        </w:numPr>
        <w:tabs>
          <w:tab w:val="left" w:leader="none" w:pos="2082"/>
        </w:tabs>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The learning module will take learners 3 to 6 hours to complete. </w:t>
      </w:r>
    </w:p>
    <w:p w:rsidR="00000000" w:rsidDel="00000000" w:rsidP="00000000" w:rsidRDefault="00000000" w:rsidRPr="00000000" w14:paraId="00000029">
      <w:pPr>
        <w:pageBreakBefore w:val="0"/>
        <w:numPr>
          <w:ilvl w:val="0"/>
          <w:numId w:val="1"/>
        </w:numPr>
        <w:tabs>
          <w:tab w:val="left" w:leader="none" w:pos="2082"/>
        </w:tabs>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This learning module typically runs over a period of 3 to 4 weeks. </w:t>
      </w:r>
    </w:p>
    <w:p w:rsidR="00000000" w:rsidDel="00000000" w:rsidP="00000000" w:rsidRDefault="00000000" w:rsidRPr="00000000" w14:paraId="0000002A">
      <w:pPr>
        <w:pageBreakBefore w:val="0"/>
        <w:tabs>
          <w:tab w:val="left" w:leader="none" w:pos="2082"/>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tabs>
          <w:tab w:val="left" w:leader="none" w:pos="2082"/>
        </w:tabs>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Implementation Options</w:t>
      </w:r>
    </w:p>
    <w:p w:rsidR="00000000" w:rsidDel="00000000" w:rsidP="00000000" w:rsidRDefault="00000000" w:rsidRPr="00000000" w14:paraId="0000002C">
      <w:pPr>
        <w:tabs>
          <w:tab w:val="left" w:leader="none" w:pos="2082"/>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order for the learning module to provide detailed individualized feedback to learners, an instructor will need to grade submitted assignments within the module. However, there are a few options for how this module may be implemented. </w:t>
      </w:r>
    </w:p>
    <w:p w:rsidR="00000000" w:rsidDel="00000000" w:rsidP="00000000" w:rsidRDefault="00000000" w:rsidRPr="00000000" w14:paraId="0000002E">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 1 - An instructor assigns the full learning module as an assignment. The instructor provides feedback on three learner submissions on the Ametros platform. </w:t>
      </w:r>
    </w:p>
    <w:p w:rsidR="00000000" w:rsidDel="00000000" w:rsidP="00000000" w:rsidRDefault="00000000" w:rsidRPr="00000000" w14:paraId="00000030">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 2 - The instructor selects one or two of the assignments that are most applicable to their course curriculum and uses those parts of the module only.</w:t>
      </w:r>
    </w:p>
    <w:p w:rsidR="00000000" w:rsidDel="00000000" w:rsidP="00000000" w:rsidRDefault="00000000" w:rsidRPr="00000000" w14:paraId="00000032">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pageBreakBefore w:val="0"/>
        <w:tabs>
          <w:tab w:val="left" w:leader="none" w:pos="2082"/>
        </w:tabs>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Note: </w:t>
      </w:r>
      <w:r w:rsidDel="00000000" w:rsidR="00000000" w:rsidRPr="00000000">
        <w:rPr>
          <w:rFonts w:ascii="Calibri" w:cs="Calibri" w:eastAsia="Calibri" w:hAnsi="Calibri"/>
          <w:sz w:val="24"/>
          <w:szCs w:val="24"/>
          <w:rtl w:val="0"/>
        </w:rPr>
        <w:t xml:space="preserve">Instructors can choose whether they would like to assign learners to the job they will analyze, allow learners to self-select the job they would like to analyze, or provide all learners with the same job (e.g., yoga instructor). </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ageBreakBefore w:val="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758043" cy="4048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5804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Calibri" w:cs="Calibri" w:eastAsia="Calibri" w:hAnsi="Calibri"/>
        <w:b w:val="0"/>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Calibri" w:cs="Calibri" w:eastAsia="Calibri" w:hAnsi="Calibri"/>
        <w:b w:val="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metroslearning-1.wistia.com/medias/5q8m9okq1s" TargetMode="External"/><Relationship Id="rId7" Type="http://schemas.openxmlformats.org/officeDocument/2006/relationships/hyperlink" Target="https://ametroslearning-1.wistia.com/medias/l9o9dqyso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