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94D1D" w14:textId="27A98FDD" w:rsidR="00D47062" w:rsidRDefault="00D47062" w:rsidP="002461F7">
      <w:pPr>
        <w:rPr>
          <w:sz w:val="4"/>
          <w:szCs w:val="4"/>
        </w:rPr>
      </w:pPr>
    </w:p>
    <w:p w14:paraId="48929668" w14:textId="41DAF2FD" w:rsidR="000C7BEC" w:rsidRDefault="000C7BEC">
      <w:pPr>
        <w:rPr>
          <w:sz w:val="4"/>
          <w:szCs w:val="4"/>
        </w:rPr>
      </w:pPr>
    </w:p>
    <w:p w14:paraId="4845ABF7" w14:textId="33E2F142" w:rsidR="000C7BEC" w:rsidRDefault="000C7BEC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961C0" w:rsidRPr="00785B9B" w14:paraId="4140EBD6" w14:textId="77777777" w:rsidTr="00CC53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EA3004" w14:textId="2E3E2ECB" w:rsidR="000C7BEC" w:rsidRPr="002961C0" w:rsidRDefault="009A034B" w:rsidP="00CC53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961C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Tirer des conclusions en se basant sur des données</w:t>
            </w:r>
          </w:p>
        </w:tc>
      </w:tr>
      <w:tr w:rsidR="002961C0" w:rsidRPr="00785B9B" w14:paraId="5397FE16" w14:textId="77777777" w:rsidTr="00C32BB2">
        <w:trPr>
          <w:trHeight w:hRule="exact" w:val="554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ED80BD" w14:textId="68223BAC" w:rsidR="0041571B" w:rsidRPr="002961C0" w:rsidRDefault="009A034B" w:rsidP="0041571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>Poser et répondre à des questions simples à propos d’une expérience</w:t>
            </w:r>
          </w:p>
          <w:p w14:paraId="2F9C2062" w14:textId="135C6C9B" w:rsidR="000C7BEC" w:rsidRPr="002961C0" w:rsidRDefault="00282512" w:rsidP="00CC538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2961C0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BBF3625" wp14:editId="518D205A">
                  <wp:extent cx="1974850" cy="101219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314D7" w14:textId="71B7E70F" w:rsidR="00D005DA" w:rsidRPr="002961C0" w:rsidRDefault="005B19F6" w:rsidP="00233F27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2961C0">
              <w:rPr>
                <w:rFonts w:ascii="Calibri" w:eastAsiaTheme="minorHAnsi" w:hAnsi="Calibri" w:cs="Calibri"/>
                <w:sz w:val="19"/>
                <w:szCs w:val="19"/>
                <w:lang w:val="fr-CA" w:eastAsia="en-US"/>
              </w:rPr>
              <w:t>«</w:t>
            </w:r>
            <w:r w:rsidRPr="002961C0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 xml:space="preserve"> </w:t>
            </w:r>
            <w:r w:rsidR="00C62FFE" w:rsidRPr="002961C0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Si je lance la pièce, elle peut tomber sur pile ou sur face. Les résultats sont équiprobables.</w:t>
            </w:r>
            <w:r w:rsidRPr="002961C0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 xml:space="preserve"> </w:t>
            </w:r>
            <w:r w:rsidRPr="002961C0">
              <w:rPr>
                <w:rFonts w:ascii="Calibri" w:eastAsiaTheme="minorHAnsi" w:hAnsi="Calibri" w:cs="Calibri"/>
                <w:sz w:val="19"/>
                <w:szCs w:val="19"/>
                <w:lang w:val="fr-CA" w:eastAsia="en-US"/>
              </w:rPr>
              <w:t>»</w:t>
            </w:r>
          </w:p>
          <w:p w14:paraId="0C93294A" w14:textId="77777777" w:rsidR="00D005DA" w:rsidRPr="002961C0" w:rsidRDefault="00D005DA" w:rsidP="00D005D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D0FB42" w14:textId="20FD4711" w:rsidR="00D005DA" w:rsidRPr="002961C0" w:rsidRDefault="00D005DA" w:rsidP="00CC538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C86999" w14:textId="41F762BF" w:rsidR="004D4C78" w:rsidRPr="002961C0" w:rsidRDefault="009A034B" w:rsidP="004D4C7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>Prendre des décisions simples en se basant sur des données</w:t>
            </w:r>
          </w:p>
          <w:p w14:paraId="11B4E999" w14:textId="77777777" w:rsidR="000C7BEC" w:rsidRPr="002961C0" w:rsidRDefault="000C7BEC" w:rsidP="00CC53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101A796" w14:textId="1AB9DD43" w:rsidR="00863042" w:rsidRPr="002961C0" w:rsidRDefault="005B19F6" w:rsidP="00233F2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31A9F" w:rsidRPr="002961C0">
              <w:rPr>
                <w:rFonts w:ascii="Arial" w:hAnsi="Arial" w:cs="Arial"/>
                <w:sz w:val="19"/>
                <w:szCs w:val="19"/>
                <w:lang w:val="fr-CA"/>
              </w:rPr>
              <w:t>Je peux obtenir un 1, 2, 3, 4, 5 ou 6. Je choisirais d’obtenir un nombre plus petit que 5 plutôt</w:t>
            </w:r>
            <w:r w:rsidR="00A63E3C"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qu’un nombre plus grand que 5, car il est plus probable que j’aie raison.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0570C61" w14:textId="08BE905D" w:rsidR="00863042" w:rsidRPr="002961C0" w:rsidRDefault="00863042" w:rsidP="00863042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F4C5C2" w14:textId="402EC3E0" w:rsidR="00D67612" w:rsidRPr="002961C0" w:rsidRDefault="00C62FFE" w:rsidP="00D6761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>Relier l’équité d’un jeu à des résultats équiprobables</w:t>
            </w:r>
          </w:p>
          <w:p w14:paraId="569CABA1" w14:textId="758AD1C4" w:rsidR="000C7BEC" w:rsidRPr="00785B9B" w:rsidRDefault="000C7BEC" w:rsidP="00CC5386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val="fr-CA"/>
              </w:rPr>
            </w:pPr>
          </w:p>
          <w:p w14:paraId="699E486F" w14:textId="4CB497FA" w:rsidR="00411CF1" w:rsidRPr="002961C0" w:rsidRDefault="00411CF1" w:rsidP="00411CF1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2961C0">
              <w:rPr>
                <w:noProof/>
              </w:rPr>
              <w:drawing>
                <wp:inline distT="0" distB="0" distL="0" distR="0" wp14:anchorId="32ACEC10" wp14:editId="1D50125E">
                  <wp:extent cx="1609725" cy="1638229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49" cy="164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1295C" w14:textId="13222020" w:rsidR="00B72909" w:rsidRPr="002961C0" w:rsidRDefault="005B19F6" w:rsidP="00233F2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D68F8"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Les chances que le pointeur s’arrête sur le vert ou le bleu sont égales, car ces couleurs recouvrent la </w:t>
            </w:r>
            <w:r w:rsidR="001B6284"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même quantité d’espace. Ainsi, si je dois obtenir le vert et mon partenaire le bleu, le jeu est équitable. En </w:t>
            </w:r>
            <w:r w:rsidR="00AA5B8C" w:rsidRPr="002961C0">
              <w:rPr>
                <w:rFonts w:ascii="Arial" w:hAnsi="Arial" w:cs="Arial"/>
                <w:sz w:val="19"/>
                <w:szCs w:val="19"/>
                <w:lang w:val="fr-CA"/>
              </w:rPr>
              <w:t>12</w:t>
            </w:r>
            <w:r w:rsidR="001B6284"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tours, je m’attends à ce que le pointeur s’arrête 4 fois sur le vert et 4 fois sur le bleu.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4338684" w14:textId="676A1B45" w:rsidR="00B72909" w:rsidRPr="002961C0" w:rsidRDefault="005B19F6" w:rsidP="00CC538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8F6321" w14:textId="76A1F0B1" w:rsidR="0007715A" w:rsidRPr="002961C0" w:rsidRDefault="00C62FFE" w:rsidP="0007715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>Créer un jeu qui est équitable ou non, et expliquer pourquoi le jeu est ou n’est pas équitable</w:t>
            </w:r>
          </w:p>
          <w:p w14:paraId="7CA9971D" w14:textId="147BFF7F" w:rsidR="0007715A" w:rsidRPr="002961C0" w:rsidRDefault="00DF06F3" w:rsidP="00CC538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61C0">
              <w:rPr>
                <w:noProof/>
              </w:rPr>
              <w:drawing>
                <wp:inline distT="0" distB="0" distL="0" distR="0" wp14:anchorId="0BCA42C9" wp14:editId="63DAD978">
                  <wp:extent cx="1533525" cy="1115964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852" cy="112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957DE" w14:textId="07964DD0" w:rsidR="00EA18CE" w:rsidRPr="002961C0" w:rsidRDefault="005B19F6" w:rsidP="00EA18C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A5B8C" w:rsidRPr="002961C0">
              <w:rPr>
                <w:rFonts w:ascii="Arial" w:hAnsi="Arial" w:cs="Arial"/>
                <w:sz w:val="19"/>
                <w:szCs w:val="19"/>
                <w:lang w:val="fr-CA"/>
              </w:rPr>
              <w:t>Équitable : obtenir</w:t>
            </w:r>
            <w:r w:rsidR="003E6672"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un nombre pair ou un nombre impair, car les deux résultats sont équiprobables.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45A52DE" w14:textId="616BBA2C" w:rsidR="0007715A" w:rsidRPr="002961C0" w:rsidRDefault="00282512" w:rsidP="00CC2A9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961C0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CD2277C" wp14:editId="78AA35C1">
                  <wp:extent cx="1733550" cy="94727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2" b="15721"/>
                          <a:stretch/>
                        </pic:blipFill>
                        <pic:spPr bwMode="auto">
                          <a:xfrm>
                            <a:off x="0" y="0"/>
                            <a:ext cx="1742699" cy="95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29FA78" w14:textId="22B8FE6A" w:rsidR="00233F27" w:rsidRPr="002961C0" w:rsidRDefault="00CC2A94" w:rsidP="00233F2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961C0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E6672" w:rsidRPr="002961C0">
              <w:rPr>
                <w:rFonts w:ascii="Arial" w:hAnsi="Arial" w:cs="Arial"/>
                <w:sz w:val="19"/>
                <w:szCs w:val="19"/>
                <w:lang w:val="fr-CA"/>
              </w:rPr>
              <w:t>Inéquitable : obtenir un nombre pair ou un nombre impair, car il est plus probable que le pointeur s’arrête sur un nombre pair.</w:t>
            </w:r>
            <w:r w:rsidR="005B19F6" w:rsidRPr="002961C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5B19F6" w:rsidRPr="002961C0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9F7D44B" w14:textId="7CF4547E" w:rsidR="00233F27" w:rsidRPr="002961C0" w:rsidRDefault="00233F27" w:rsidP="0007715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2961C0" w:rsidRPr="002961C0" w14:paraId="3338FB76" w14:textId="77777777" w:rsidTr="00CC538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FB7EB8" w14:textId="01F9D35E" w:rsidR="000C7BEC" w:rsidRPr="002961C0" w:rsidRDefault="000C7BEC" w:rsidP="00CC538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961C0">
              <w:rPr>
                <w:rFonts w:ascii="Arial" w:eastAsia="Verdana" w:hAnsi="Arial" w:cs="Arial"/>
                <w:b/>
              </w:rPr>
              <w:t>Observations</w:t>
            </w:r>
            <w:r w:rsidR="009A034B" w:rsidRPr="002961C0">
              <w:rPr>
                <w:rFonts w:ascii="Arial" w:eastAsia="Verdana" w:hAnsi="Arial" w:cs="Arial"/>
                <w:b/>
              </w:rPr>
              <w:t xml:space="preserve"> et d</w:t>
            </w:r>
            <w:r w:rsidRPr="002961C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961C0" w:rsidRPr="002961C0" w14:paraId="3E13C6F9" w14:textId="77777777" w:rsidTr="00CC5386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13B490" w14:textId="77777777" w:rsidR="000C7BEC" w:rsidRPr="002961C0" w:rsidRDefault="000C7BEC" w:rsidP="00CC53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02B1DC" w14:textId="77777777" w:rsidR="000C7BEC" w:rsidRPr="002961C0" w:rsidRDefault="000C7BEC" w:rsidP="00CC538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6E0B95" w14:textId="77777777" w:rsidR="000C7BEC" w:rsidRPr="002961C0" w:rsidRDefault="000C7BEC" w:rsidP="00CC538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BF119E" w14:textId="77777777" w:rsidR="000C7BEC" w:rsidRPr="002961C0" w:rsidRDefault="000C7BEC" w:rsidP="00CC538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4E323E" w14:textId="77777777" w:rsidR="000C7BEC" w:rsidRPr="00AA5CD1" w:rsidRDefault="000C7BEC" w:rsidP="002461F7">
      <w:pPr>
        <w:rPr>
          <w:sz w:val="4"/>
          <w:szCs w:val="4"/>
        </w:rPr>
      </w:pPr>
    </w:p>
    <w:sectPr w:rsidR="000C7BEC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C41" w14:textId="77777777" w:rsidR="00AF44FF" w:rsidRDefault="00AF44FF" w:rsidP="00CA2529">
      <w:pPr>
        <w:spacing w:after="0" w:line="240" w:lineRule="auto"/>
      </w:pPr>
      <w:r>
        <w:separator/>
      </w:r>
    </w:p>
  </w:endnote>
  <w:endnote w:type="continuationSeparator" w:id="0">
    <w:p w14:paraId="1877DC80" w14:textId="77777777" w:rsidR="00AF44FF" w:rsidRDefault="00AF44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1A613" w14:textId="77777777" w:rsidR="00785B9B" w:rsidRDefault="00785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863EF37" w:rsidR="0028676E" w:rsidRPr="002961C0" w:rsidRDefault="002961C0" w:rsidP="002961C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BAFB70" wp14:editId="344CAD4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A11F" w14:textId="77777777" w:rsidR="00785B9B" w:rsidRDefault="0078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A1C" w14:textId="77777777" w:rsidR="00AF44FF" w:rsidRDefault="00AF44FF" w:rsidP="00CA2529">
      <w:pPr>
        <w:spacing w:after="0" w:line="240" w:lineRule="auto"/>
      </w:pPr>
      <w:r>
        <w:separator/>
      </w:r>
    </w:p>
  </w:footnote>
  <w:footnote w:type="continuationSeparator" w:id="0">
    <w:p w14:paraId="6D0A2D83" w14:textId="77777777" w:rsidR="00AF44FF" w:rsidRDefault="00AF44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0389" w14:textId="77777777" w:rsidR="00785B9B" w:rsidRDefault="0078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322B" w14:textId="281E9CA8" w:rsidR="00601889" w:rsidRPr="00A829B7" w:rsidRDefault="00E21EE5" w:rsidP="00601889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7A41F" w14:textId="77777777" w:rsidR="00785B9B" w:rsidRDefault="00785B9B" w:rsidP="00785B9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03AFF343" w14:textId="77777777" w:rsidR="00785B9B" w:rsidRDefault="00785B9B" w:rsidP="00785B9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45A657EB" w:rsidR="00E613E3" w:rsidRPr="00A829B7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1987A41F" w14:textId="77777777" w:rsidR="00785B9B" w:rsidRDefault="00785B9B" w:rsidP="00785B9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03AFF343" w14:textId="77777777" w:rsidR="00785B9B" w:rsidRDefault="00785B9B" w:rsidP="00785B9B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45A657EB" w:rsidR="00E613E3" w:rsidRPr="00A829B7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3CDD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8AE5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829B7">
      <w:rPr>
        <w:lang w:val="fr-CA"/>
      </w:rPr>
      <w:tab/>
    </w:r>
    <w:r w:rsidR="00CA2529" w:rsidRPr="00A829B7">
      <w:rPr>
        <w:lang w:val="fr-CA"/>
      </w:rPr>
      <w:tab/>
    </w:r>
    <w:r w:rsidR="00CA2529" w:rsidRPr="00A829B7">
      <w:rPr>
        <w:lang w:val="fr-CA"/>
      </w:rPr>
      <w:tab/>
    </w:r>
    <w:r w:rsidR="00207CC0" w:rsidRPr="00A829B7">
      <w:rPr>
        <w:lang w:val="fr-CA"/>
      </w:rPr>
      <w:tab/>
    </w:r>
    <w:r w:rsidR="00FD2B2E" w:rsidRPr="00A829B7">
      <w:rPr>
        <w:lang w:val="fr-CA"/>
      </w:rPr>
      <w:tab/>
    </w:r>
    <w:r w:rsidR="00A829B7" w:rsidRPr="00A829B7">
      <w:rPr>
        <w:rFonts w:ascii="Arial" w:hAnsi="Arial" w:cs="Arial"/>
        <w:b/>
        <w:sz w:val="36"/>
        <w:szCs w:val="36"/>
        <w:lang w:val="fr-CA"/>
      </w:rPr>
      <w:t>Évaluation de l’activité 9</w:t>
    </w:r>
  </w:p>
  <w:p w14:paraId="4803A000" w14:textId="12C956B5" w:rsidR="00E613E3" w:rsidRPr="00A829B7" w:rsidRDefault="00A829B7" w:rsidP="00601889">
    <w:pPr>
      <w:spacing w:after="0"/>
      <w:ind w:firstLine="3600"/>
      <w:rPr>
        <w:rFonts w:ascii="Arial" w:hAnsi="Arial" w:cs="Arial"/>
        <w:b/>
        <w:sz w:val="36"/>
        <w:szCs w:val="36"/>
        <w:lang w:val="fr-CA"/>
      </w:rPr>
    </w:pPr>
    <w:r w:rsidRPr="00A829B7">
      <w:rPr>
        <w:rFonts w:ascii="Arial" w:hAnsi="Arial" w:cs="Arial"/>
        <w:b/>
        <w:sz w:val="28"/>
        <w:szCs w:val="28"/>
        <w:lang w:val="fr-CA"/>
      </w:rPr>
      <w:t xml:space="preserve">Qui va probablement gagner </w:t>
    </w:r>
    <w:r w:rsidR="000B1C40" w:rsidRPr="00A829B7">
      <w:rPr>
        <w:rFonts w:ascii="Arial" w:hAnsi="Arial" w:cs="Arial"/>
        <w:b/>
        <w:sz w:val="28"/>
        <w:szCs w:val="28"/>
        <w:lang w:val="fr-CA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CD7D" w14:textId="77777777" w:rsidR="00785B9B" w:rsidRDefault="0078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7715A"/>
    <w:rsid w:val="00080222"/>
    <w:rsid w:val="0008174D"/>
    <w:rsid w:val="0008725B"/>
    <w:rsid w:val="000931EC"/>
    <w:rsid w:val="00097C8F"/>
    <w:rsid w:val="000B1C40"/>
    <w:rsid w:val="000C1BF6"/>
    <w:rsid w:val="000C2970"/>
    <w:rsid w:val="000C7349"/>
    <w:rsid w:val="000C7BEC"/>
    <w:rsid w:val="000D3592"/>
    <w:rsid w:val="000D7137"/>
    <w:rsid w:val="000E4378"/>
    <w:rsid w:val="000E788F"/>
    <w:rsid w:val="000F43C1"/>
    <w:rsid w:val="00100105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621E"/>
    <w:rsid w:val="001607D2"/>
    <w:rsid w:val="00172439"/>
    <w:rsid w:val="00182E2A"/>
    <w:rsid w:val="00186505"/>
    <w:rsid w:val="001905CB"/>
    <w:rsid w:val="00192706"/>
    <w:rsid w:val="00192FD8"/>
    <w:rsid w:val="00194226"/>
    <w:rsid w:val="001A2F9D"/>
    <w:rsid w:val="001A7920"/>
    <w:rsid w:val="001B30A9"/>
    <w:rsid w:val="001B5E12"/>
    <w:rsid w:val="001B6284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33F27"/>
    <w:rsid w:val="00242B2C"/>
    <w:rsid w:val="002461F7"/>
    <w:rsid w:val="00254851"/>
    <w:rsid w:val="00270D20"/>
    <w:rsid w:val="002760FF"/>
    <w:rsid w:val="0028196A"/>
    <w:rsid w:val="00282512"/>
    <w:rsid w:val="00283404"/>
    <w:rsid w:val="0028676E"/>
    <w:rsid w:val="002961C0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85D"/>
    <w:rsid w:val="00364E65"/>
    <w:rsid w:val="003849E7"/>
    <w:rsid w:val="00395DA1"/>
    <w:rsid w:val="003970D1"/>
    <w:rsid w:val="003A4867"/>
    <w:rsid w:val="003A4D90"/>
    <w:rsid w:val="003B1A4E"/>
    <w:rsid w:val="003C7B39"/>
    <w:rsid w:val="003D079C"/>
    <w:rsid w:val="003D1641"/>
    <w:rsid w:val="003D236C"/>
    <w:rsid w:val="003D38C5"/>
    <w:rsid w:val="003D4BDC"/>
    <w:rsid w:val="003E0965"/>
    <w:rsid w:val="003E43EB"/>
    <w:rsid w:val="003E6672"/>
    <w:rsid w:val="0040008E"/>
    <w:rsid w:val="00411CF1"/>
    <w:rsid w:val="0041571B"/>
    <w:rsid w:val="00416BC6"/>
    <w:rsid w:val="00424F12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4C78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19F6"/>
    <w:rsid w:val="005B39DE"/>
    <w:rsid w:val="005B3A77"/>
    <w:rsid w:val="005B71B6"/>
    <w:rsid w:val="005B7D0F"/>
    <w:rsid w:val="005C330B"/>
    <w:rsid w:val="005D1816"/>
    <w:rsid w:val="005D3D5E"/>
    <w:rsid w:val="00601889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409C"/>
    <w:rsid w:val="006C0F0C"/>
    <w:rsid w:val="006C6F74"/>
    <w:rsid w:val="006D2F30"/>
    <w:rsid w:val="006D68F8"/>
    <w:rsid w:val="006E062C"/>
    <w:rsid w:val="006F6779"/>
    <w:rsid w:val="0072422E"/>
    <w:rsid w:val="00733E9A"/>
    <w:rsid w:val="00741178"/>
    <w:rsid w:val="0076731B"/>
    <w:rsid w:val="0078278F"/>
    <w:rsid w:val="0078496A"/>
    <w:rsid w:val="00785B9B"/>
    <w:rsid w:val="00790DB4"/>
    <w:rsid w:val="00793ACA"/>
    <w:rsid w:val="007A6B78"/>
    <w:rsid w:val="007A6FD8"/>
    <w:rsid w:val="007C0F92"/>
    <w:rsid w:val="007C4F24"/>
    <w:rsid w:val="007D11C5"/>
    <w:rsid w:val="007D59F8"/>
    <w:rsid w:val="007E19E8"/>
    <w:rsid w:val="007F0C53"/>
    <w:rsid w:val="007F26EA"/>
    <w:rsid w:val="007F6D71"/>
    <w:rsid w:val="00805A4E"/>
    <w:rsid w:val="008261CA"/>
    <w:rsid w:val="008326A2"/>
    <w:rsid w:val="00832B16"/>
    <w:rsid w:val="00853E99"/>
    <w:rsid w:val="00863042"/>
    <w:rsid w:val="00875B8F"/>
    <w:rsid w:val="00883F8C"/>
    <w:rsid w:val="00887A02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07087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A034B"/>
    <w:rsid w:val="009B6FF8"/>
    <w:rsid w:val="009C574D"/>
    <w:rsid w:val="009D275F"/>
    <w:rsid w:val="00A02279"/>
    <w:rsid w:val="00A03BD7"/>
    <w:rsid w:val="00A2716E"/>
    <w:rsid w:val="00A43E96"/>
    <w:rsid w:val="00A44904"/>
    <w:rsid w:val="00A510EC"/>
    <w:rsid w:val="00A63E3C"/>
    <w:rsid w:val="00A66EDD"/>
    <w:rsid w:val="00A73B2F"/>
    <w:rsid w:val="00A829B7"/>
    <w:rsid w:val="00AA5B8C"/>
    <w:rsid w:val="00AA5CD1"/>
    <w:rsid w:val="00AB527F"/>
    <w:rsid w:val="00AC6799"/>
    <w:rsid w:val="00AC7428"/>
    <w:rsid w:val="00AE494A"/>
    <w:rsid w:val="00AF44FF"/>
    <w:rsid w:val="00B1485A"/>
    <w:rsid w:val="00B4394A"/>
    <w:rsid w:val="00B546EB"/>
    <w:rsid w:val="00B56F6C"/>
    <w:rsid w:val="00B64C00"/>
    <w:rsid w:val="00B72909"/>
    <w:rsid w:val="00B852AD"/>
    <w:rsid w:val="00B9593A"/>
    <w:rsid w:val="00BA072D"/>
    <w:rsid w:val="00BA10A4"/>
    <w:rsid w:val="00BB2207"/>
    <w:rsid w:val="00BD16F1"/>
    <w:rsid w:val="00BD18B4"/>
    <w:rsid w:val="00BD5ACB"/>
    <w:rsid w:val="00BE7BA6"/>
    <w:rsid w:val="00BF093C"/>
    <w:rsid w:val="00C031B1"/>
    <w:rsid w:val="00C03691"/>
    <w:rsid w:val="00C31A9F"/>
    <w:rsid w:val="00C32BB2"/>
    <w:rsid w:val="00C3622C"/>
    <w:rsid w:val="00C45623"/>
    <w:rsid w:val="00C46D8C"/>
    <w:rsid w:val="00C62FFE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2A94"/>
    <w:rsid w:val="00CD2187"/>
    <w:rsid w:val="00CF26E9"/>
    <w:rsid w:val="00CF2D1D"/>
    <w:rsid w:val="00CF3114"/>
    <w:rsid w:val="00CF3ED1"/>
    <w:rsid w:val="00D005DA"/>
    <w:rsid w:val="00D06903"/>
    <w:rsid w:val="00D10C2A"/>
    <w:rsid w:val="00D23494"/>
    <w:rsid w:val="00D26B06"/>
    <w:rsid w:val="00D3715D"/>
    <w:rsid w:val="00D42277"/>
    <w:rsid w:val="00D466FC"/>
    <w:rsid w:val="00D47062"/>
    <w:rsid w:val="00D544D5"/>
    <w:rsid w:val="00D56ECA"/>
    <w:rsid w:val="00D639AF"/>
    <w:rsid w:val="00D67612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06F3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A18CE"/>
    <w:rsid w:val="00EC413C"/>
    <w:rsid w:val="00EE29C2"/>
    <w:rsid w:val="00EE4F03"/>
    <w:rsid w:val="00EE79E6"/>
    <w:rsid w:val="00EF4F0E"/>
    <w:rsid w:val="00F01EB8"/>
    <w:rsid w:val="00F05C19"/>
    <w:rsid w:val="00F06B81"/>
    <w:rsid w:val="00F10556"/>
    <w:rsid w:val="00F123BA"/>
    <w:rsid w:val="00F135F6"/>
    <w:rsid w:val="00F1645A"/>
    <w:rsid w:val="00F327B0"/>
    <w:rsid w:val="00F358C6"/>
    <w:rsid w:val="00F43E70"/>
    <w:rsid w:val="00F54626"/>
    <w:rsid w:val="00F652A1"/>
    <w:rsid w:val="00F6555D"/>
    <w:rsid w:val="00F80089"/>
    <w:rsid w:val="00F86C1E"/>
    <w:rsid w:val="00FA309D"/>
    <w:rsid w:val="00FA377A"/>
    <w:rsid w:val="00FA6033"/>
    <w:rsid w:val="00FB0810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B9B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9E63B-45BB-4A02-8CA5-ECA24A664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6C751-7C87-4978-AD69-117D6362ADF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FE41E-7A0A-4685-9526-24B697E19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18</cp:revision>
  <cp:lastPrinted>2016-08-23T12:28:00Z</cp:lastPrinted>
  <dcterms:created xsi:type="dcterms:W3CDTF">2022-01-07T18:58:00Z</dcterms:created>
  <dcterms:modified xsi:type="dcterms:W3CDTF">2022-01-10T15:34:00Z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