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578" w:type="dxa"/>
        <w:tblLayout w:type="fixed"/>
        <w:tblLook w:val="04A0" w:firstRow="1" w:lastRow="0" w:firstColumn="1" w:lastColumn="0" w:noHBand="0" w:noVBand="1"/>
      </w:tblPr>
      <w:tblGrid>
        <w:gridCol w:w="3089"/>
        <w:gridCol w:w="3544"/>
        <w:gridCol w:w="3349"/>
        <w:gridCol w:w="3596"/>
      </w:tblGrid>
      <w:tr w:rsidR="002F142C" w14:paraId="2E39B3F8" w14:textId="716AFF69" w:rsidTr="00F308EA">
        <w:trPr>
          <w:trHeight w:hRule="exact" w:val="462"/>
        </w:trPr>
        <w:tc>
          <w:tcPr>
            <w:tcW w:w="13578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0726FAAA" w:rsidR="002F142C" w:rsidRPr="006B210D" w:rsidRDefault="00C63C63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C63C63">
              <w:rPr>
                <w:rFonts w:ascii="Arial" w:eastAsia="Verdana" w:hAnsi="Arial" w:cs="Arial"/>
                <w:b/>
                <w:sz w:val="24"/>
                <w:szCs w:val="24"/>
              </w:rPr>
              <w:t>Composing and Decomposing Numbers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F308EA" w14:paraId="76008433" w14:textId="055E6395" w:rsidTr="00F308EA">
        <w:trPr>
          <w:trHeight w:hRule="exact" w:val="2593"/>
        </w:trPr>
        <w:tc>
          <w:tcPr>
            <w:tcW w:w="308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C41517" w14:textId="285966E0" w:rsidR="00DE3F74" w:rsidRDefault="00C63C63" w:rsidP="00C63C6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63C63">
              <w:rPr>
                <w:rFonts w:ascii="Arial" w:hAnsi="Arial" w:cs="Arial"/>
                <w:color w:val="626365"/>
                <w:sz w:val="19"/>
                <w:szCs w:val="19"/>
              </w:rPr>
              <w:t>Student decomposes number into units of tens and leftover ones, but has more than 10 cubes in the Ones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63C63">
              <w:rPr>
                <w:rFonts w:ascii="Arial" w:hAnsi="Arial" w:cs="Arial"/>
                <w:color w:val="626365"/>
                <w:sz w:val="19"/>
                <w:szCs w:val="19"/>
              </w:rPr>
              <w:t>column.</w:t>
            </w:r>
          </w:p>
          <w:p w14:paraId="57DB202C" w14:textId="08CC7146" w:rsidR="00F041C0" w:rsidRPr="00F041C0" w:rsidRDefault="00F308EA" w:rsidP="00F308EA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622525D" wp14:editId="5097F411">
                  <wp:extent cx="1548910" cy="807252"/>
                  <wp:effectExtent l="0" t="0" r="635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3_a13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871" cy="807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CEA32C6" w14:textId="3487A85F" w:rsidR="00644905" w:rsidRPr="00C63C63" w:rsidRDefault="00C63C63" w:rsidP="00F308EA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63C63">
              <w:rPr>
                <w:rFonts w:ascii="Arial" w:hAnsi="Arial" w:cs="Arial"/>
                <w:color w:val="626365"/>
                <w:sz w:val="19"/>
                <w:szCs w:val="19"/>
              </w:rPr>
              <w:t>Student decomposes number into units of tens and leftover ones, but does not realize that one ten is the same as 10 ones.</w:t>
            </w:r>
          </w:p>
          <w:p w14:paraId="7F95AA5C" w14:textId="53532731" w:rsidR="00C63C63" w:rsidRPr="00C63C63" w:rsidRDefault="00F308EA" w:rsidP="00F308EA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65E7FD48" wp14:editId="24C9363F">
                  <wp:extent cx="1111965" cy="382475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3_a13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342" cy="386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480F0D" w14:textId="77777777" w:rsidR="00F308EA" w:rsidRDefault="00C63C63" w:rsidP="00C63C6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63C63">
              <w:rPr>
                <w:rFonts w:ascii="Arial" w:hAnsi="Arial" w:cs="Arial"/>
                <w:color w:val="626365"/>
                <w:sz w:val="19"/>
                <w:szCs w:val="19"/>
              </w:rPr>
              <w:t>Student decomposes number into units of tens and leftover ones, but confuses the number of tens with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63C63">
              <w:rPr>
                <w:rFonts w:ascii="Arial" w:hAnsi="Arial" w:cs="Arial"/>
                <w:color w:val="626365"/>
                <w:sz w:val="19"/>
                <w:szCs w:val="19"/>
              </w:rPr>
              <w:t>the number of cubes.</w:t>
            </w:r>
          </w:p>
          <w:p w14:paraId="063E448B" w14:textId="0A765286" w:rsidR="00DE3F74" w:rsidRPr="00C63C63" w:rsidRDefault="00F308EA" w:rsidP="00F308E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97A138B" wp14:editId="78A062F6">
                  <wp:extent cx="1586527" cy="97054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3_a13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178" cy="971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3EB05B" w14:textId="1719B669" w:rsidR="00C63C63" w:rsidRPr="00C63C63" w:rsidRDefault="00C63C63" w:rsidP="00F041C0">
            <w:pPr>
              <w:pStyle w:val="Pa6"/>
            </w:pPr>
          </w:p>
        </w:tc>
        <w:tc>
          <w:tcPr>
            <w:tcW w:w="359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A02B9C" w14:textId="6A9DB93B" w:rsidR="00F308EA" w:rsidRPr="00F308EA" w:rsidRDefault="00C63C63" w:rsidP="00F308E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63C63">
              <w:rPr>
                <w:rFonts w:ascii="Arial" w:hAnsi="Arial" w:cs="Arial"/>
                <w:color w:val="626365"/>
                <w:sz w:val="19"/>
                <w:szCs w:val="19"/>
              </w:rPr>
              <w:t>Student decomposes number into units of tens and leftover ones, but is unable to relate the number of tens and leftover ones to the digits of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63C63">
              <w:rPr>
                <w:rFonts w:ascii="Arial" w:hAnsi="Arial" w:cs="Arial"/>
                <w:color w:val="626365"/>
                <w:sz w:val="19"/>
                <w:szCs w:val="19"/>
              </w:rPr>
              <w:t>number (cannot read the number).</w:t>
            </w:r>
          </w:p>
          <w:p w14:paraId="111EFC49" w14:textId="7D143D31" w:rsidR="00C63C63" w:rsidRPr="00C63C63" w:rsidRDefault="00F308EA" w:rsidP="00F308EA">
            <w:pPr>
              <w:pStyle w:val="Pa6"/>
              <w:spacing w:before="60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C7C7D43" wp14:editId="1EDE1B94">
                  <wp:extent cx="1976120" cy="872490"/>
                  <wp:effectExtent l="0" t="0" r="508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2_n03_a13_t04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120" cy="87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8EA" w14:paraId="01BA3F47" w14:textId="6CC135FD" w:rsidTr="00F308EA">
        <w:trPr>
          <w:trHeight w:hRule="exact" w:val="307"/>
        </w:trPr>
        <w:tc>
          <w:tcPr>
            <w:tcW w:w="13578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207D2C2B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F308EA" w14:paraId="1BEAC3C7" w14:textId="77777777" w:rsidTr="00F308EA">
        <w:trPr>
          <w:trHeight w:val="1236"/>
        </w:trPr>
        <w:tc>
          <w:tcPr>
            <w:tcW w:w="308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0DAA63D9" w14:textId="77777777" w:rsidR="00F308EA" w:rsidRDefault="00F308EA" w:rsidP="00F308EA">
            <w:pPr>
              <w:rPr>
                <w:noProof/>
                <w:lang w:eastAsia="en-C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CC52ABC" w14:textId="77777777" w:rsidR="00F308EA" w:rsidRDefault="00F308EA" w:rsidP="00F308EA">
            <w:pPr>
              <w:rPr>
                <w:noProof/>
                <w:lang w:eastAsia="en-CA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13056343" w14:textId="77777777" w:rsidR="00F308EA" w:rsidRDefault="00F308EA" w:rsidP="00F308EA">
            <w:pPr>
              <w:rPr>
                <w:noProof/>
                <w:lang w:eastAsia="en-CA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0BDC992" w14:textId="77777777" w:rsidR="00F308EA" w:rsidRDefault="00F308EA" w:rsidP="00F308EA">
            <w:pPr>
              <w:rPr>
                <w:noProof/>
                <w:lang w:eastAsia="en-CA"/>
              </w:rPr>
            </w:pPr>
          </w:p>
        </w:tc>
      </w:tr>
      <w:tr w:rsidR="00F308EA" w:rsidRPr="00345039" w14:paraId="5B4C6B70" w14:textId="77777777" w:rsidTr="00F308EA">
        <w:trPr>
          <w:trHeight w:hRule="exact" w:val="112"/>
        </w:trPr>
        <w:tc>
          <w:tcPr>
            <w:tcW w:w="3089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186565B0" w14:textId="77777777" w:rsidR="00F308EA" w:rsidRDefault="00F308EA" w:rsidP="00F308EA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54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FAD3DA" w14:textId="77777777" w:rsidR="00F308EA" w:rsidRPr="00345039" w:rsidRDefault="00F308EA" w:rsidP="00F308EA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49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59E0D8A" w14:textId="77777777" w:rsidR="00F308EA" w:rsidRPr="00345039" w:rsidRDefault="00F308EA" w:rsidP="00F308EA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59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B7A3B94" w14:textId="77777777" w:rsidR="00F308EA" w:rsidRPr="00345039" w:rsidRDefault="00F308EA" w:rsidP="00F308EA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F308EA" w:rsidRPr="00C63C63" w14:paraId="2E212C2C" w14:textId="77777777" w:rsidTr="00F308EA">
        <w:trPr>
          <w:trHeight w:hRule="exact" w:val="2704"/>
        </w:trPr>
        <w:tc>
          <w:tcPr>
            <w:tcW w:w="308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96D397" w14:textId="77777777" w:rsidR="00F041C0" w:rsidRPr="00C63C63" w:rsidRDefault="00F041C0" w:rsidP="001C12C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63C63">
              <w:rPr>
                <w:rFonts w:ascii="Arial" w:hAnsi="Arial" w:cs="Arial"/>
                <w:color w:val="626365"/>
                <w:sz w:val="19"/>
                <w:szCs w:val="19"/>
              </w:rPr>
              <w:t>Student decomposes number into units of tens and leftover ones, but cannot write the number.</w:t>
            </w:r>
          </w:p>
          <w:p w14:paraId="3A402704" w14:textId="77777777" w:rsidR="00F041C0" w:rsidRDefault="00F041C0" w:rsidP="001C12C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259227" w14:textId="77777777" w:rsidR="00F041C0" w:rsidRPr="00C63C63" w:rsidRDefault="00F041C0" w:rsidP="001C12CF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63C63">
              <w:rPr>
                <w:rFonts w:ascii="Arial" w:hAnsi="Arial" w:cs="Arial"/>
                <w:color w:val="626365"/>
                <w:sz w:val="19"/>
                <w:szCs w:val="19"/>
              </w:rPr>
              <w:t>“5 tens and 1 one, fifty-one.</w:t>
            </w:r>
          </w:p>
          <w:p w14:paraId="1E64C9DF" w14:textId="77777777" w:rsidR="00F041C0" w:rsidRPr="00644905" w:rsidRDefault="00F041C0" w:rsidP="001C12CF">
            <w:pPr>
              <w:pStyle w:val="Pa6"/>
              <w:ind w:left="275"/>
              <w:jc w:val="center"/>
            </w:pPr>
            <w:r w:rsidRPr="00C63C63">
              <w:rPr>
                <w:rFonts w:ascii="Arial" w:hAnsi="Arial" w:cs="Arial"/>
                <w:color w:val="626365"/>
                <w:sz w:val="19"/>
                <w:szCs w:val="19"/>
              </w:rPr>
              <w:t>How do I write it?”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838CC8" w14:textId="46777D19" w:rsidR="00F308EA" w:rsidRPr="00F308EA" w:rsidRDefault="00F041C0" w:rsidP="00F52E1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308EA">
              <w:rPr>
                <w:rFonts w:ascii="Arial" w:hAnsi="Arial" w:cs="Arial"/>
                <w:color w:val="626365"/>
                <w:sz w:val="19"/>
                <w:szCs w:val="19"/>
              </w:rPr>
              <w:t>Student decomposes number</w:t>
            </w:r>
            <w:r w:rsidR="00F308EA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308EA">
              <w:rPr>
                <w:rFonts w:ascii="Arial" w:hAnsi="Arial" w:cs="Arial"/>
                <w:color w:val="626365"/>
                <w:sz w:val="19"/>
                <w:szCs w:val="19"/>
              </w:rPr>
              <w:t>into units of tens and leftover</w:t>
            </w:r>
            <w:r w:rsidR="00F308EA" w:rsidRPr="00F308EA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308EA">
              <w:rPr>
                <w:rFonts w:ascii="Arial" w:hAnsi="Arial" w:cs="Arial"/>
                <w:color w:val="626365"/>
                <w:sz w:val="19"/>
                <w:szCs w:val="19"/>
              </w:rPr>
              <w:t>ones, and counts on with cubes to determine how many more ones are needed to make another ten.</w:t>
            </w:r>
          </w:p>
          <w:p w14:paraId="73B23D98" w14:textId="29326403" w:rsidR="00F041C0" w:rsidRPr="00C63C63" w:rsidRDefault="00F308EA" w:rsidP="00F308EA">
            <w:pPr>
              <w:pStyle w:val="Pa6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D3385A9" wp14:editId="0C9B4B36">
                  <wp:extent cx="1813560" cy="1038860"/>
                  <wp:effectExtent l="0" t="0" r="0" b="254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2_n03_a13_t05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038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F1D48D" w14:textId="19BA342F" w:rsidR="00F041C0" w:rsidRPr="00C63C63" w:rsidRDefault="00F041C0" w:rsidP="001C12C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63C63">
              <w:rPr>
                <w:rFonts w:ascii="Arial" w:hAnsi="Arial" w:cs="Arial"/>
                <w:color w:val="626365"/>
                <w:sz w:val="19"/>
                <w:szCs w:val="19"/>
              </w:rPr>
              <w:t>Student decomposes number into units of tens and leftover ones and counts on with fingers to determine how many more ones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63C63">
              <w:rPr>
                <w:rFonts w:ascii="Arial" w:hAnsi="Arial" w:cs="Arial"/>
                <w:color w:val="626365"/>
                <w:sz w:val="19"/>
                <w:szCs w:val="19"/>
              </w:rPr>
              <w:t>are needed to make another ten.</w:t>
            </w:r>
          </w:p>
          <w:p w14:paraId="3373E117" w14:textId="1770AE2B" w:rsidR="00F041C0" w:rsidRPr="00C63C63" w:rsidRDefault="00F308EA" w:rsidP="001C12C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58D658D9" wp14:editId="321B63A3">
                  <wp:extent cx="1975485" cy="711835"/>
                  <wp:effectExtent l="0" t="0" r="571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2_n03_a13_t06_blm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485" cy="711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8F0E36" w14:textId="77777777" w:rsidR="00F041C0" w:rsidRPr="00C63C63" w:rsidRDefault="00F041C0" w:rsidP="001C12C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63C63">
              <w:rPr>
                <w:rFonts w:ascii="Arial" w:hAnsi="Arial" w:cs="Arial"/>
                <w:color w:val="626365"/>
                <w:sz w:val="19"/>
                <w:szCs w:val="19"/>
              </w:rPr>
              <w:t>Student successfully writes, reads, composes, and decomposes two-digit numbers as units of tens and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63C63">
              <w:rPr>
                <w:rFonts w:ascii="Arial" w:hAnsi="Arial" w:cs="Arial"/>
                <w:color w:val="626365"/>
                <w:sz w:val="19"/>
                <w:szCs w:val="19"/>
              </w:rPr>
              <w:t>leftover ones.</w:t>
            </w:r>
          </w:p>
        </w:tc>
      </w:tr>
      <w:tr w:rsidR="00F308EA" w:rsidRPr="00D7596A" w14:paraId="5C595708" w14:textId="77777777" w:rsidTr="00F308EA">
        <w:trPr>
          <w:trHeight w:hRule="exact" w:val="279"/>
        </w:trPr>
        <w:tc>
          <w:tcPr>
            <w:tcW w:w="13578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A865E1" w14:textId="7CF04921" w:rsidR="00F041C0" w:rsidRPr="00D7596A" w:rsidRDefault="00F041C0" w:rsidP="001C12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F308EA" w:rsidRPr="007A6B78" w14:paraId="7288A17A" w14:textId="77777777" w:rsidTr="00F308EA">
        <w:trPr>
          <w:trHeight w:val="1241"/>
        </w:trPr>
        <w:tc>
          <w:tcPr>
            <w:tcW w:w="3089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6CB621" w14:textId="77777777" w:rsidR="00F041C0" w:rsidRPr="007A6B78" w:rsidRDefault="00F041C0" w:rsidP="001C12CF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94033A" w14:textId="77777777" w:rsidR="00F041C0" w:rsidRDefault="00F041C0" w:rsidP="001C12CF">
            <w:pPr>
              <w:rPr>
                <w:noProof/>
                <w:lang w:eastAsia="en-CA"/>
              </w:rPr>
            </w:pPr>
          </w:p>
        </w:tc>
        <w:tc>
          <w:tcPr>
            <w:tcW w:w="3349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4CAFD9" w14:textId="77777777" w:rsidR="00F041C0" w:rsidRPr="007A6B78" w:rsidRDefault="00F041C0" w:rsidP="001C12CF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59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02E142" w14:textId="77777777" w:rsidR="00F041C0" w:rsidRPr="007A6B78" w:rsidRDefault="00F041C0" w:rsidP="001C12CF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3968A3DD" w14:textId="77777777" w:rsidR="00F041C0" w:rsidRDefault="00F041C0" w:rsidP="002F142C">
      <w:pPr>
        <w:ind w:right="582"/>
      </w:pPr>
    </w:p>
    <w:sectPr w:rsidR="00F041C0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C0319" w14:textId="77777777" w:rsidR="009018C6" w:rsidRDefault="009018C6" w:rsidP="00CA2529">
      <w:pPr>
        <w:spacing w:after="0" w:line="240" w:lineRule="auto"/>
      </w:pPr>
      <w:r>
        <w:separator/>
      </w:r>
    </w:p>
  </w:endnote>
  <w:endnote w:type="continuationSeparator" w:id="0">
    <w:p w14:paraId="2D62C89E" w14:textId="77777777" w:rsidR="009018C6" w:rsidRDefault="009018C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4AF17" w14:textId="77777777" w:rsidR="009018C6" w:rsidRDefault="009018C6" w:rsidP="00CA2529">
      <w:pPr>
        <w:spacing w:after="0" w:line="240" w:lineRule="auto"/>
      </w:pPr>
      <w:r>
        <w:separator/>
      </w:r>
    </w:p>
  </w:footnote>
  <w:footnote w:type="continuationSeparator" w:id="0">
    <w:p w14:paraId="19B5FFE7" w14:textId="77777777" w:rsidR="009018C6" w:rsidRDefault="009018C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4FF2570E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0C1DC37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644905">
      <w:rPr>
        <w:rFonts w:ascii="Arial" w:hAnsi="Arial" w:cs="Arial"/>
        <w:b/>
        <w:sz w:val="36"/>
        <w:szCs w:val="36"/>
      </w:rPr>
      <w:t>3</w:t>
    </w:r>
    <w:r w:rsidR="00C63C63">
      <w:rPr>
        <w:rFonts w:ascii="Arial" w:hAnsi="Arial" w:cs="Arial"/>
        <w:b/>
        <w:sz w:val="36"/>
        <w:szCs w:val="36"/>
      </w:rPr>
      <w:t>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E3F74">
      <w:rPr>
        <w:rFonts w:ascii="Arial" w:hAnsi="Arial" w:cs="Arial"/>
        <w:b/>
        <w:sz w:val="36"/>
        <w:szCs w:val="36"/>
      </w:rPr>
      <w:t>1</w:t>
    </w:r>
    <w:r w:rsidR="00C63C63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256A63B" w:rsidR="00CA2529" w:rsidRPr="00E71CBF" w:rsidRDefault="00C63C63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Building Numbers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0392D"/>
    <w:rsid w:val="00050E5C"/>
    <w:rsid w:val="00053328"/>
    <w:rsid w:val="0008174D"/>
    <w:rsid w:val="00097C8F"/>
    <w:rsid w:val="000C2970"/>
    <w:rsid w:val="000C7349"/>
    <w:rsid w:val="000F43C1"/>
    <w:rsid w:val="00112FF1"/>
    <w:rsid w:val="00184460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2D1871"/>
    <w:rsid w:val="002F142C"/>
    <w:rsid w:val="003014A9"/>
    <w:rsid w:val="00345039"/>
    <w:rsid w:val="003F79B3"/>
    <w:rsid w:val="00483555"/>
    <w:rsid w:val="004959B6"/>
    <w:rsid w:val="00525412"/>
    <w:rsid w:val="0052693C"/>
    <w:rsid w:val="00543A9A"/>
    <w:rsid w:val="00553D67"/>
    <w:rsid w:val="00581577"/>
    <w:rsid w:val="005B3A77"/>
    <w:rsid w:val="005B7D0F"/>
    <w:rsid w:val="00644905"/>
    <w:rsid w:val="00661689"/>
    <w:rsid w:val="00696ABC"/>
    <w:rsid w:val="006B210D"/>
    <w:rsid w:val="006F5B27"/>
    <w:rsid w:val="00741178"/>
    <w:rsid w:val="0076731B"/>
    <w:rsid w:val="007A6B78"/>
    <w:rsid w:val="00832B16"/>
    <w:rsid w:val="00855013"/>
    <w:rsid w:val="009018C6"/>
    <w:rsid w:val="0092323E"/>
    <w:rsid w:val="00974D31"/>
    <w:rsid w:val="00994C77"/>
    <w:rsid w:val="009B6FF8"/>
    <w:rsid w:val="009B72A0"/>
    <w:rsid w:val="00A20BE1"/>
    <w:rsid w:val="00A43E96"/>
    <w:rsid w:val="00AE494A"/>
    <w:rsid w:val="00B62B98"/>
    <w:rsid w:val="00B9593A"/>
    <w:rsid w:val="00BA072D"/>
    <w:rsid w:val="00BA10A4"/>
    <w:rsid w:val="00BD5ACB"/>
    <w:rsid w:val="00BE7BA6"/>
    <w:rsid w:val="00C14D38"/>
    <w:rsid w:val="00C63C63"/>
    <w:rsid w:val="00C72956"/>
    <w:rsid w:val="00C85AE2"/>
    <w:rsid w:val="00C957B8"/>
    <w:rsid w:val="00CA2529"/>
    <w:rsid w:val="00CB2021"/>
    <w:rsid w:val="00CD2187"/>
    <w:rsid w:val="00CF3ED1"/>
    <w:rsid w:val="00D7596A"/>
    <w:rsid w:val="00DA1368"/>
    <w:rsid w:val="00DB4EC8"/>
    <w:rsid w:val="00DD6F23"/>
    <w:rsid w:val="00DE3F74"/>
    <w:rsid w:val="00E16179"/>
    <w:rsid w:val="00E21446"/>
    <w:rsid w:val="00E21EE5"/>
    <w:rsid w:val="00E45E3B"/>
    <w:rsid w:val="00E51D51"/>
    <w:rsid w:val="00E613E3"/>
    <w:rsid w:val="00E71CBF"/>
    <w:rsid w:val="00EE14AA"/>
    <w:rsid w:val="00EE29C2"/>
    <w:rsid w:val="00F041C0"/>
    <w:rsid w:val="00F10556"/>
    <w:rsid w:val="00F308EA"/>
    <w:rsid w:val="00F358C6"/>
    <w:rsid w:val="00F86C1E"/>
    <w:rsid w:val="00FD2B2E"/>
    <w:rsid w:val="00FE0BBF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52541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41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41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41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4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72588-7E43-47B0-98AF-46B76E5B2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5</cp:revision>
  <cp:lastPrinted>2016-08-23T12:28:00Z</cp:lastPrinted>
  <dcterms:created xsi:type="dcterms:W3CDTF">2018-06-26T17:26:00Z</dcterms:created>
  <dcterms:modified xsi:type="dcterms:W3CDTF">2018-07-17T19:23:00Z</dcterms:modified>
</cp:coreProperties>
</file>