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Power Maths Scheme of Work for Summer 2020 - Year 3</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 Working in partnership with White Rose Maths, we have created special summer term Schemes of Work that Power Maths schools can follow in 2020. (These match the Summer Term Plans on the White Rose Maths website.)</w:t>
      </w:r>
    </w:p>
    <w:p w:rsidR="00000000" w:rsidDel="00000000" w:rsidP="00000000" w:rsidRDefault="00000000" w:rsidRPr="00000000" w14:paraId="00000004">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5">
      <w:pPr>
        <w:shd w:fill="ffffff" w:val="clea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These Schemes of Work introduce essential content from Term C alongside the consolidation of crucial number work from Terms A and B, so that children are able to start on next year’s work in September with as little disruption as possible. </w:t>
      </w:r>
    </w:p>
    <w:p w:rsidR="00000000" w:rsidDel="00000000" w:rsidP="00000000" w:rsidRDefault="00000000" w:rsidRPr="00000000" w14:paraId="00000006">
      <w:pPr>
        <w:shd w:fill="ffffff" w:val="clear"/>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7">
      <w:pPr>
        <w:shd w:fill="ffffff" w:val="clear"/>
        <w:rPr/>
      </w:pPr>
      <w:r w:rsidDel="00000000" w:rsidR="00000000" w:rsidRPr="00000000">
        <w:rPr>
          <w:rFonts w:ascii="Calibri" w:cs="Calibri" w:eastAsia="Calibri" w:hAnsi="Calibri"/>
          <w:sz w:val="24"/>
          <w:szCs w:val="24"/>
          <w:highlight w:val="white"/>
          <w:rtl w:val="0"/>
        </w:rPr>
        <w:t xml:space="preserve">To support these schemes of work, we have created </w:t>
      </w:r>
      <w:r w:rsidDel="00000000" w:rsidR="00000000" w:rsidRPr="00000000">
        <w:rPr>
          <w:rFonts w:ascii="Calibri" w:cs="Calibri" w:eastAsia="Calibri" w:hAnsi="Calibri"/>
          <w:b w:val="1"/>
          <w:sz w:val="24"/>
          <w:szCs w:val="24"/>
          <w:highlight w:val="white"/>
          <w:rtl w:val="0"/>
        </w:rPr>
        <w:t xml:space="preserve">Power Maths Summer Home Editions</w:t>
      </w:r>
      <w:r w:rsidDel="00000000" w:rsidR="00000000" w:rsidRPr="00000000">
        <w:rPr>
          <w:rFonts w:ascii="Calibri" w:cs="Calibri" w:eastAsia="Calibri" w:hAnsi="Calibri"/>
          <w:sz w:val="24"/>
          <w:szCs w:val="24"/>
          <w:highlight w:val="white"/>
          <w:rtl w:val="0"/>
        </w:rPr>
        <w:t xml:space="preserve"> for children to work through at home. (These are made up of Textbook and Practice Book pages from all 3 terms.) Power Maths schools can access</w:t>
      </w:r>
      <w:r w:rsidDel="00000000" w:rsidR="00000000" w:rsidRPr="00000000">
        <w:rPr>
          <w:rFonts w:ascii="Calibri" w:cs="Calibri" w:eastAsia="Calibri" w:hAnsi="Calibri"/>
          <w:b w:val="1"/>
          <w:sz w:val="24"/>
          <w:szCs w:val="24"/>
          <w:highlight w:val="white"/>
          <w:rtl w:val="0"/>
        </w:rPr>
        <w:t xml:space="preserve"> free ebooks versions</w:t>
      </w:r>
      <w:r w:rsidDel="00000000" w:rsidR="00000000" w:rsidRPr="00000000">
        <w:rPr>
          <w:rFonts w:ascii="Calibri" w:cs="Calibri" w:eastAsia="Calibri" w:hAnsi="Calibri"/>
          <w:sz w:val="24"/>
          <w:szCs w:val="24"/>
          <w:highlight w:val="white"/>
          <w:rtl w:val="0"/>
        </w:rPr>
        <w:t xml:space="preserve"> of these summer editions (your school will receive an email with links to this content), but hard copies of the books are also available for children who are less able to access these online (see </w:t>
      </w:r>
      <w:hyperlink r:id="rId6">
        <w:r w:rsidDel="00000000" w:rsidR="00000000" w:rsidRPr="00000000">
          <w:rPr>
            <w:rFonts w:ascii="Calibri" w:cs="Calibri" w:eastAsia="Calibri" w:hAnsi="Calibri"/>
            <w:color w:val="1155cc"/>
            <w:sz w:val="24"/>
            <w:szCs w:val="24"/>
            <w:highlight w:val="white"/>
            <w:u w:val="single"/>
            <w:rtl w:val="0"/>
          </w:rPr>
          <w:t xml:space="preserve">Pearson schools website</w:t>
        </w:r>
      </w:hyperlink>
      <w:r w:rsidDel="00000000" w:rsidR="00000000" w:rsidRPr="00000000">
        <w:rPr>
          <w:rFonts w:ascii="Calibri" w:cs="Calibri" w:eastAsia="Calibri" w:hAnsi="Calibri"/>
          <w:sz w:val="24"/>
          <w:szCs w:val="24"/>
          <w:highlight w:val="white"/>
          <w:rtl w:val="0"/>
        </w:rPr>
        <w:t xml:space="preserve">). </w:t>
      </w: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pPr>
      <w:r w:rsidDel="00000000" w:rsidR="00000000" w:rsidRPr="00000000">
        <w:rPr>
          <w:b w:val="1"/>
          <w:rtl w:val="0"/>
        </w:rPr>
        <w:t xml:space="preserve">Week 1</w:t>
      </w: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rtl w:val="0"/>
              </w:rPr>
              <w:t xml:space="preserve">Converting pounds and pence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Unit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rtl w:val="0"/>
              </w:rPr>
              <w:t xml:space="preserve">Adding money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Unit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Lesson 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rtl w:val="0"/>
              </w:rPr>
              <w:t xml:space="preserve">Subtracting amounts of money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Unit 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Lesson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Calibri" w:cs="Calibri" w:eastAsia="Calibri" w:hAnsi="Calibri"/>
                <w:rtl w:val="0"/>
              </w:rPr>
              <w:t xml:space="preserve">3 times-table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Unit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t xml:space="preserve">Lesson 4</w:t>
            </w:r>
          </w:p>
        </w:tc>
      </w:tr>
    </w:tbl>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pPr>
      <w:r w:rsidDel="00000000" w:rsidR="00000000" w:rsidRPr="00000000">
        <w:rPr>
          <w:b w:val="1"/>
          <w:rtl w:val="0"/>
        </w:rPr>
        <w:t xml:space="preserve">Week 2</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Fonts w:ascii="Calibri" w:cs="Calibri" w:eastAsia="Calibri" w:hAnsi="Calibri"/>
                <w:rtl w:val="0"/>
              </w:rPr>
              <w:t xml:space="preserve">8 times-table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Unit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Lesson 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Fonts w:ascii="Calibri" w:cs="Calibri" w:eastAsia="Calibri" w:hAnsi="Calibri"/>
                <w:rtl w:val="0"/>
              </w:rPr>
              <w:t xml:space="preserve">Multiplying a 2-digit number by a 1-digit number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Unit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t xml:space="preserve">Lesson 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Fonts w:ascii="Calibri" w:cs="Calibri" w:eastAsia="Calibri" w:hAnsi="Calibri"/>
                <w:rtl w:val="0"/>
              </w:rPr>
              <w:t xml:space="preserve">Dividing a 2-digit number by a 1-digit number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t xml:space="preserve">Unit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t xml:space="preserve">Lesson 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Fonts w:ascii="Calibri" w:cs="Calibri" w:eastAsia="Calibri" w:hAnsi="Calibri"/>
                <w:rtl w:val="0"/>
              </w:rPr>
              <w:t xml:space="preserve">Solving problems – mixed problems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Unit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Lesson 12</w:t>
            </w:r>
          </w:p>
        </w:tc>
      </w:tr>
    </w:tbl>
    <w:p w:rsidR="00000000" w:rsidDel="00000000" w:rsidP="00000000" w:rsidRDefault="00000000" w:rsidRPr="00000000" w14:paraId="00000024">
      <w:pPr>
        <w:rPr>
          <w:b w:val="1"/>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Week 3</w:t>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605"/>
        <w:gridCol w:w="2160"/>
        <w:tblGridChange w:id="0">
          <w:tblGrid>
            <w:gridCol w:w="5595"/>
            <w:gridCol w:w="1605"/>
            <w:gridCol w:w="216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pPr>
            <w:r w:rsidDel="00000000" w:rsidR="00000000" w:rsidRPr="00000000">
              <w:rPr>
                <w:rFonts w:ascii="Calibri" w:cs="Calibri" w:eastAsia="Calibri" w:hAnsi="Calibri"/>
                <w:rtl w:val="0"/>
              </w:rPr>
              <w:t xml:space="preserve">Introducing whole and parts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pPr>
            <w:r w:rsidDel="00000000" w:rsidR="00000000" w:rsidRPr="00000000">
              <w:rPr>
                <w:rtl w:val="0"/>
              </w:rPr>
              <w:t xml:space="preserve">Year 2 Unit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pPr>
            <w:r w:rsidDel="00000000" w:rsidR="00000000" w:rsidRPr="00000000">
              <w:rPr>
                <w:rtl w:val="0"/>
              </w:rPr>
              <w:t xml:space="preserve">Lesson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pPr>
            <w:r w:rsidDel="00000000" w:rsidR="00000000" w:rsidRPr="00000000">
              <w:rPr>
                <w:rFonts w:ascii="Calibri" w:cs="Calibri" w:eastAsia="Calibri" w:hAnsi="Calibri"/>
                <w:rtl w:val="0"/>
              </w:rPr>
              <w:t xml:space="preserve">Understanding non-unit fractions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Unit 2 Unit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pPr>
            <w:r w:rsidDel="00000000" w:rsidR="00000000" w:rsidRPr="00000000">
              <w:rPr>
                <w:rtl w:val="0"/>
              </w:rPr>
              <w:t xml:space="preserve">Lesson 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Fonts w:ascii="Calibri" w:cs="Calibri" w:eastAsia="Calibri" w:hAnsi="Calibri"/>
                <w:rtl w:val="0"/>
              </w:rPr>
              <w:t xml:space="preserve">Unit and non-unit fractions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pPr>
            <w:r w:rsidDel="00000000" w:rsidR="00000000" w:rsidRPr="00000000">
              <w:rPr>
                <w:rtl w:val="0"/>
              </w:rPr>
              <w:t xml:space="preserve">Lesson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pPr>
            <w:r w:rsidDel="00000000" w:rsidR="00000000" w:rsidRPr="00000000">
              <w:rPr>
                <w:rFonts w:ascii="Calibri" w:cs="Calibri" w:eastAsia="Calibri" w:hAnsi="Calibri"/>
                <w:rtl w:val="0"/>
              </w:rPr>
              <w:t xml:space="preserve">Tenths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pPr>
            <w:r w:rsidDel="00000000" w:rsidR="00000000" w:rsidRPr="00000000">
              <w:rPr>
                <w:rtl w:val="0"/>
              </w:rPr>
              <w:t xml:space="preserve">Lesson 3</w:t>
            </w:r>
          </w:p>
        </w:tc>
      </w:tr>
    </w:tbl>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b w:val="1"/>
          <w:rtl w:val="0"/>
        </w:rPr>
        <w:t xml:space="preserve">Week 4</w:t>
      </w: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pPr>
            <w:r w:rsidDel="00000000" w:rsidR="00000000" w:rsidRPr="00000000">
              <w:rPr>
                <w:rFonts w:ascii="Calibri" w:cs="Calibri" w:eastAsia="Calibri" w:hAnsi="Calibri"/>
                <w:rtl w:val="0"/>
              </w:rPr>
              <w:t xml:space="preserve">Fractions as numbers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pPr>
            <w:r w:rsidDel="00000000" w:rsidR="00000000" w:rsidRPr="00000000">
              <w:rPr>
                <w:rtl w:val="0"/>
              </w:rPr>
              <w:t xml:space="preserve">Lesson 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Fonts w:ascii="Calibri" w:cs="Calibri" w:eastAsia="Calibri" w:hAnsi="Calibri"/>
                <w:rtl w:val="0"/>
              </w:rPr>
              <w:t xml:space="preserve">Fractions as numbers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Lesson 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Fonts w:ascii="Calibri" w:cs="Calibri" w:eastAsia="Calibri" w:hAnsi="Calibri"/>
                <w:rtl w:val="0"/>
              </w:rPr>
              <w:t xml:space="preserve">Fractions of a set of objects (1)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t xml:space="preserve">Lesson 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pPr>
            <w:r w:rsidDel="00000000" w:rsidR="00000000" w:rsidRPr="00000000">
              <w:rPr>
                <w:rFonts w:ascii="Calibri" w:cs="Calibri" w:eastAsia="Calibri" w:hAnsi="Calibri"/>
                <w:rtl w:val="0"/>
              </w:rPr>
              <w:t xml:space="preserve">Fractions of a set of objects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pPr>
            <w:r w:rsidDel="00000000" w:rsidR="00000000" w:rsidRPr="00000000">
              <w:rPr>
                <w:rtl w:val="0"/>
              </w:rPr>
              <w:t xml:space="preserve">Lesson 9</w:t>
            </w:r>
          </w:p>
        </w:tc>
      </w:tr>
    </w:tbl>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pPr>
      <w:r w:rsidDel="00000000" w:rsidR="00000000" w:rsidRPr="00000000">
        <w:rPr>
          <w:b w:val="1"/>
          <w:rtl w:val="0"/>
        </w:rPr>
        <w:t xml:space="preserve">Week 5</w:t>
      </w:r>
      <w:r w:rsidDel="00000000" w:rsidR="00000000" w:rsidRPr="00000000">
        <w:rPr>
          <w:rtl w:val="0"/>
        </w:rPr>
      </w:r>
    </w:p>
    <w:tbl>
      <w:tblPr>
        <w:tblStyle w:val="Table5"/>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pPr>
            <w:r w:rsidDel="00000000" w:rsidR="00000000" w:rsidRPr="00000000">
              <w:rPr>
                <w:rFonts w:ascii="Calibri" w:cs="Calibri" w:eastAsia="Calibri" w:hAnsi="Calibri"/>
                <w:rtl w:val="0"/>
              </w:rPr>
              <w:t xml:space="preserve">Equivalent fractions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pPr>
            <w:r w:rsidDel="00000000" w:rsidR="00000000" w:rsidRPr="00000000">
              <w:rPr>
                <w:rtl w:val="0"/>
              </w:rPr>
              <w:t xml:space="preserve">Unit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Lesson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Fonts w:ascii="Calibri" w:cs="Calibri" w:eastAsia="Calibri" w:hAnsi="Calibri"/>
                <w:rtl w:val="0"/>
              </w:rPr>
              <w:t xml:space="preserve">Equivalent fractions (2)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pPr>
            <w:r w:rsidDel="00000000" w:rsidR="00000000" w:rsidRPr="00000000">
              <w:rPr>
                <w:rtl w:val="0"/>
              </w:rPr>
              <w:t xml:space="preserve">Unit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pPr>
            <w:r w:rsidDel="00000000" w:rsidR="00000000" w:rsidRPr="00000000">
              <w:rPr>
                <w:rtl w:val="0"/>
              </w:rPr>
              <w:t xml:space="preserve">Lesson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Fonts w:ascii="Calibri" w:cs="Calibri" w:eastAsia="Calibri" w:hAnsi="Calibri"/>
                <w:rtl w:val="0"/>
              </w:rPr>
              <w:t xml:space="preserve">Comparing fractions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pPr>
            <w:r w:rsidDel="00000000" w:rsidR="00000000" w:rsidRPr="00000000">
              <w:rPr>
                <w:rtl w:val="0"/>
              </w:rPr>
              <w:t xml:space="preserve">Unit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pPr>
            <w:r w:rsidDel="00000000" w:rsidR="00000000" w:rsidRPr="00000000">
              <w:rPr>
                <w:rtl w:val="0"/>
              </w:rPr>
              <w:t xml:space="preserve">Lesson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pPr>
            <w:r w:rsidDel="00000000" w:rsidR="00000000" w:rsidRPr="00000000">
              <w:rPr>
                <w:rFonts w:ascii="Calibri" w:cs="Calibri" w:eastAsia="Calibri" w:hAnsi="Calibri"/>
                <w:rtl w:val="0"/>
              </w:rPr>
              <w:t xml:space="preserve">Comparing and ordering fractions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pPr>
            <w:r w:rsidDel="00000000" w:rsidR="00000000" w:rsidRPr="00000000">
              <w:rPr>
                <w:rtl w:val="0"/>
              </w:rPr>
              <w:t xml:space="preserve">Unit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tl w:val="0"/>
              </w:rPr>
              <w:t xml:space="preserve">Lesson 5</w:t>
            </w:r>
          </w:p>
        </w:tc>
      </w:tr>
    </w:tbl>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pPr>
      <w:r w:rsidDel="00000000" w:rsidR="00000000" w:rsidRPr="00000000">
        <w:rPr>
          <w:b w:val="1"/>
          <w:rtl w:val="0"/>
        </w:rPr>
        <w:t xml:space="preserve">Week 6</w:t>
      </w: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Fonts w:ascii="Calibri" w:cs="Calibri" w:eastAsia="Calibri" w:hAnsi="Calibri"/>
                <w:rtl w:val="0"/>
              </w:rPr>
              <w:t xml:space="preserve">Adding fractions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pPr>
            <w:r w:rsidDel="00000000" w:rsidR="00000000" w:rsidRPr="00000000">
              <w:rPr>
                <w:rtl w:val="0"/>
              </w:rPr>
              <w:t xml:space="preserve">Unit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pPr>
            <w:r w:rsidDel="00000000" w:rsidR="00000000" w:rsidRPr="00000000">
              <w:rPr>
                <w:rtl w:val="0"/>
              </w:rPr>
              <w:t xml:space="preserve">Lesson 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Fonts w:ascii="Calibri" w:cs="Calibri" w:eastAsia="Calibri" w:hAnsi="Calibri"/>
                <w:rtl w:val="0"/>
              </w:rPr>
              <w:t xml:space="preserve">Subtracting fractions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Unit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t xml:space="preserve">Lesson 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Fonts w:ascii="Calibri" w:cs="Calibri" w:eastAsia="Calibri" w:hAnsi="Calibri"/>
                <w:rtl w:val="0"/>
              </w:rPr>
              <w:t xml:space="preserve">Making the whole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t xml:space="preserve">Unit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tl w:val="0"/>
              </w:rPr>
              <w:t xml:space="preserve">Lesson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pPr>
            <w:r w:rsidDel="00000000" w:rsidR="00000000" w:rsidRPr="00000000">
              <w:rPr>
                <w:rFonts w:ascii="Calibri" w:cs="Calibri" w:eastAsia="Calibri" w:hAnsi="Calibri"/>
                <w:rtl w:val="0"/>
              </w:rPr>
              <w:t xml:space="preserve">Solving problems - adding and subtracting fractions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t xml:space="preserve">Unit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pPr>
            <w:r w:rsidDel="00000000" w:rsidR="00000000" w:rsidRPr="00000000">
              <w:rPr>
                <w:rtl w:val="0"/>
              </w:rPr>
              <w:t xml:space="preserve">Lesson 8</w:t>
            </w:r>
          </w:p>
        </w:tc>
      </w:tr>
    </w:tbl>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Week 7</w:t>
      </w: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Fonts w:ascii="Calibri" w:cs="Calibri" w:eastAsia="Calibri" w:hAnsi="Calibri"/>
                <w:rtl w:val="0"/>
              </w:rPr>
              <w:t xml:space="preserve">Turns and angles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pPr>
            <w:r w:rsidDel="00000000" w:rsidR="00000000" w:rsidRPr="00000000">
              <w:rPr>
                <w:rtl w:val="0"/>
              </w:rPr>
              <w:t xml:space="preserve">Lesson 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Fonts w:ascii="Calibri" w:cs="Calibri" w:eastAsia="Calibri" w:hAnsi="Calibri"/>
                <w:rtl w:val="0"/>
              </w:rPr>
              <w:t xml:space="preserve">Comparing angles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pPr>
            <w:r w:rsidDel="00000000" w:rsidR="00000000" w:rsidRPr="00000000">
              <w:rPr>
                <w:rtl w:val="0"/>
              </w:rPr>
              <w:t xml:space="preserve">Lesson 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pPr>
            <w:r w:rsidDel="00000000" w:rsidR="00000000" w:rsidRPr="00000000">
              <w:rPr>
                <w:rFonts w:ascii="Calibri" w:cs="Calibri" w:eastAsia="Calibri" w:hAnsi="Calibri"/>
                <w:rtl w:val="0"/>
              </w:rPr>
              <w:t xml:space="preserve">Types of line (1)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pPr>
            <w:r w:rsidDel="00000000" w:rsidR="00000000" w:rsidRPr="00000000">
              <w:rPr>
                <w:rtl w:val="0"/>
              </w:rPr>
              <w:t xml:space="preserve">Lesson 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Fonts w:ascii="Calibri" w:cs="Calibri" w:eastAsia="Calibri" w:hAnsi="Calibri"/>
                <w:rtl w:val="0"/>
              </w:rPr>
              <w:t xml:space="preserve">Types of line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pPr>
            <w:r w:rsidDel="00000000" w:rsidR="00000000" w:rsidRPr="00000000">
              <w:rPr>
                <w:rtl w:val="0"/>
              </w:rPr>
              <w:t xml:space="preserve">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pPr>
            <w:r w:rsidDel="00000000" w:rsidR="00000000" w:rsidRPr="00000000">
              <w:rPr>
                <w:rtl w:val="0"/>
              </w:rPr>
              <w:t xml:space="preserve">Lesson 6</w:t>
            </w:r>
          </w:p>
        </w:tc>
      </w:tr>
    </w:tbl>
    <w:p w:rsidR="00000000" w:rsidDel="00000000" w:rsidP="00000000" w:rsidRDefault="00000000" w:rsidRPr="00000000" w14:paraId="0000006D">
      <w:pPr>
        <w:rPr>
          <w:b w:val="1"/>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rPr>
          <w:b w:val="1"/>
        </w:rPr>
      </w:pPr>
      <w:r w:rsidDel="00000000" w:rsidR="00000000" w:rsidRPr="00000000">
        <w:rPr>
          <w:rtl w:val="0"/>
        </w:rPr>
      </w:r>
    </w:p>
    <w:p w:rsidR="00000000" w:rsidDel="00000000" w:rsidP="00000000" w:rsidRDefault="00000000" w:rsidRPr="00000000" w14:paraId="00000070">
      <w:pPr>
        <w:rPr/>
      </w:pPr>
      <w:r w:rsidDel="00000000" w:rsidR="00000000" w:rsidRPr="00000000">
        <w:rPr>
          <w:b w:val="1"/>
          <w:rtl w:val="0"/>
        </w:rPr>
        <w:t xml:space="preserve">Week 8</w:t>
      </w: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pPr>
            <w:r w:rsidDel="00000000" w:rsidR="00000000" w:rsidRPr="00000000">
              <w:rPr>
                <w:rFonts w:ascii="Calibri" w:cs="Calibri" w:eastAsia="Calibri" w:hAnsi="Calibri"/>
                <w:rtl w:val="0"/>
              </w:rPr>
              <w:t xml:space="preserve">Drawing accurately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pPr>
            <w:r w:rsidDel="00000000" w:rsidR="00000000" w:rsidRPr="00000000">
              <w:rPr>
                <w:rtl w:val="0"/>
              </w:rPr>
              <w:t xml:space="preserve">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pPr>
            <w:r w:rsidDel="00000000" w:rsidR="00000000" w:rsidRPr="00000000">
              <w:rPr>
                <w:rtl w:val="0"/>
              </w:rPr>
              <w:t xml:space="preserve">Lesson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pPr>
            <w:r w:rsidDel="00000000" w:rsidR="00000000" w:rsidRPr="00000000">
              <w:rPr>
                <w:rFonts w:ascii="Calibri" w:cs="Calibri" w:eastAsia="Calibri" w:hAnsi="Calibri"/>
                <w:rtl w:val="0"/>
              </w:rPr>
              <w:t xml:space="preserve">Recognising and describing 2D shapes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pPr>
            <w:r w:rsidDel="00000000" w:rsidR="00000000" w:rsidRPr="00000000">
              <w:rPr>
                <w:rtl w:val="0"/>
              </w:rPr>
              <w:t xml:space="preserve">Lesson 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Fonts w:ascii="Calibri" w:cs="Calibri" w:eastAsia="Calibri" w:hAnsi="Calibri"/>
                <w:rtl w:val="0"/>
              </w:rPr>
              <w:t xml:space="preserve">Recognising and describing 3D shapes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pPr>
            <w:r w:rsidDel="00000000" w:rsidR="00000000" w:rsidRPr="00000000">
              <w:rPr>
                <w:rtl w:val="0"/>
              </w:rPr>
              <w:t xml:space="preserve">Unit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Lesson 8</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pPr>
            <w:r w:rsidDel="00000000" w:rsidR="00000000" w:rsidRPr="00000000">
              <w:rPr>
                <w:rFonts w:ascii="Calibri" w:cs="Calibri" w:eastAsia="Calibri" w:hAnsi="Calibri"/>
                <w:rtl w:val="0"/>
              </w:rPr>
              <w:t xml:space="preserve">Telling time to 5 minutes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Unit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pPr>
            <w:r w:rsidDel="00000000" w:rsidR="00000000" w:rsidRPr="00000000">
              <w:rPr>
                <w:rtl w:val="0"/>
              </w:rPr>
              <w:t xml:space="preserve">Lesson 4</w:t>
            </w:r>
          </w:p>
        </w:tc>
      </w:tr>
    </w:tbl>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pPr>
      <w:r w:rsidDel="00000000" w:rsidR="00000000" w:rsidRPr="00000000">
        <w:rPr>
          <w:b w:val="1"/>
          <w:rtl w:val="0"/>
        </w:rPr>
        <w:t xml:space="preserve">Week 9</w:t>
      </w: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pPr>
            <w:r w:rsidDel="00000000" w:rsidR="00000000" w:rsidRPr="00000000">
              <w:rPr>
                <w:rFonts w:ascii="Calibri" w:cs="Calibri" w:eastAsia="Calibri" w:hAnsi="Calibri"/>
                <w:rtl w:val="0"/>
              </w:rPr>
              <w:t xml:space="preserve">Measuring mass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Unit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pPr>
            <w:r w:rsidDel="00000000" w:rsidR="00000000" w:rsidRPr="00000000">
              <w:rPr>
                <w:rtl w:val="0"/>
              </w:rPr>
              <w:t xml:space="preserve">Lesson 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Fonts w:ascii="Calibri" w:cs="Calibri" w:eastAsia="Calibri" w:hAnsi="Calibri"/>
                <w:rtl w:val="0"/>
              </w:rPr>
              <w:t xml:space="preserve">Comparing masses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pPr>
            <w:r w:rsidDel="00000000" w:rsidR="00000000" w:rsidRPr="00000000">
              <w:rPr>
                <w:rtl w:val="0"/>
              </w:rPr>
              <w:t xml:space="preserve">Unit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Lesson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pPr>
            <w:r w:rsidDel="00000000" w:rsidR="00000000" w:rsidRPr="00000000">
              <w:rPr>
                <w:rFonts w:ascii="Calibri" w:cs="Calibri" w:eastAsia="Calibri" w:hAnsi="Calibri"/>
                <w:rtl w:val="0"/>
              </w:rPr>
              <w:t xml:space="preserve">Adding and subtracting masses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t xml:space="preserve">Unit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pPr>
            <w:r w:rsidDel="00000000" w:rsidR="00000000" w:rsidRPr="00000000">
              <w:rPr>
                <w:rtl w:val="0"/>
              </w:rPr>
              <w:t xml:space="preserve">Lesson 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Fonts w:ascii="Calibri" w:cs="Calibri" w:eastAsia="Calibri" w:hAnsi="Calibri"/>
                <w:rtl w:val="0"/>
              </w:rPr>
              <w:t xml:space="preserve">Measuring capacity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pPr>
            <w:r w:rsidDel="00000000" w:rsidR="00000000" w:rsidRPr="00000000">
              <w:rPr>
                <w:rtl w:val="0"/>
              </w:rPr>
              <w:t xml:space="preserve">Unit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t xml:space="preserve">Lesson 2</w:t>
            </w:r>
          </w:p>
        </w:tc>
      </w:tr>
    </w:tbl>
    <w:p w:rsidR="00000000" w:rsidDel="00000000" w:rsidP="00000000" w:rsidRDefault="00000000" w:rsidRPr="00000000" w14:paraId="0000008C">
      <w:pPr>
        <w:rPr>
          <w:b w:val="1"/>
        </w:rPr>
      </w:pPr>
      <w:r w:rsidDel="00000000" w:rsidR="00000000" w:rsidRPr="00000000">
        <w:rPr>
          <w:rtl w:val="0"/>
        </w:rPr>
      </w:r>
    </w:p>
    <w:p w:rsidR="00000000" w:rsidDel="00000000" w:rsidP="00000000" w:rsidRDefault="00000000" w:rsidRPr="00000000" w14:paraId="0000008D">
      <w:pPr>
        <w:rPr/>
      </w:pPr>
      <w:r w:rsidDel="00000000" w:rsidR="00000000" w:rsidRPr="00000000">
        <w:rPr>
          <w:b w:val="1"/>
          <w:rtl w:val="0"/>
        </w:rPr>
        <w:t xml:space="preserve">Week 10</w:t>
      </w:r>
      <w:r w:rsidDel="00000000" w:rsidR="00000000" w:rsidRPr="00000000">
        <w:rPr>
          <w:rtl w:val="0"/>
        </w:rPr>
      </w:r>
    </w:p>
    <w:tbl>
      <w:tblPr>
        <w:tblStyle w:val="Table10"/>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95"/>
        <w:gridCol w:w="1530"/>
        <w:gridCol w:w="2235"/>
        <w:tblGridChange w:id="0">
          <w:tblGrid>
            <w:gridCol w:w="5595"/>
            <w:gridCol w:w="1530"/>
            <w:gridCol w:w="22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pPr>
            <w:r w:rsidDel="00000000" w:rsidR="00000000" w:rsidRPr="00000000">
              <w:rPr>
                <w:rFonts w:ascii="Calibri" w:cs="Calibri" w:eastAsia="Calibri" w:hAnsi="Calibri"/>
                <w:rtl w:val="0"/>
              </w:rPr>
              <w:t xml:space="preserve">Comparing capacities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Unit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pPr>
            <w:r w:rsidDel="00000000" w:rsidR="00000000" w:rsidRPr="00000000">
              <w:rPr>
                <w:rtl w:val="0"/>
              </w:rPr>
              <w:t xml:space="preserve">Lesson 4</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Fonts w:ascii="Calibri" w:cs="Calibri" w:eastAsia="Calibri" w:hAnsi="Calibri"/>
                <w:rtl w:val="0"/>
              </w:rPr>
              <w:t xml:space="preserve">Adding and subtracting capacities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pPr>
            <w:r w:rsidDel="00000000" w:rsidR="00000000" w:rsidRPr="00000000">
              <w:rPr>
                <w:rtl w:val="0"/>
              </w:rPr>
              <w:t xml:space="preserve">Unit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Lesson 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pPr>
            <w:r w:rsidDel="00000000" w:rsidR="00000000" w:rsidRPr="00000000">
              <w:rPr>
                <w:rFonts w:ascii="Calibri" w:cs="Calibri" w:eastAsia="Calibri" w:hAnsi="Calibri"/>
                <w:rtl w:val="0"/>
              </w:rPr>
              <w:t xml:space="preserve">Bar charts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t xml:space="preserve">Unit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pPr>
            <w:r w:rsidDel="00000000" w:rsidR="00000000" w:rsidRPr="00000000">
              <w:rPr>
                <w:rtl w:val="0"/>
              </w:rPr>
              <w:t xml:space="preserve">Lesson 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Fonts w:ascii="Calibri" w:cs="Calibri" w:eastAsia="Calibri" w:hAnsi="Calibri"/>
                <w:rtl w:val="0"/>
              </w:rPr>
              <w:t xml:space="preserve">Pictograms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pPr>
            <w:r w:rsidDel="00000000" w:rsidR="00000000" w:rsidRPr="00000000">
              <w:rPr>
                <w:rtl w:val="0"/>
              </w:rPr>
              <w:t xml:space="preserve">Unit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pPr>
            <w:r w:rsidDel="00000000" w:rsidR="00000000" w:rsidRPr="00000000">
              <w:rPr>
                <w:rtl w:val="0"/>
              </w:rPr>
              <w:t xml:space="preserve">Lesson 1</w:t>
            </w:r>
          </w:p>
        </w:tc>
      </w:tr>
    </w:tbl>
    <w:p w:rsidR="00000000" w:rsidDel="00000000" w:rsidP="00000000" w:rsidRDefault="00000000" w:rsidRPr="00000000" w14:paraId="0000009A">
      <w:pPr>
        <w:rPr>
          <w:b w:val="1"/>
        </w:rPr>
      </w:pPr>
      <w:r w:rsidDel="00000000" w:rsidR="00000000" w:rsidRPr="00000000">
        <w:rPr>
          <w:rtl w:val="0"/>
        </w:rPr>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r>
    </w:p>
    <w:p w:rsidR="00000000" w:rsidDel="00000000" w:rsidP="00000000" w:rsidRDefault="00000000" w:rsidRPr="00000000" w14:paraId="0000009D">
      <w:pPr>
        <w:rPr/>
      </w:pPr>
      <w:r w:rsidDel="00000000" w:rsidR="00000000" w:rsidRPr="00000000">
        <w:rPr>
          <w:b w:val="1"/>
          <w:rtl w:val="0"/>
        </w:rPr>
        <w:t xml:space="preserve">*</w:t>
      </w:r>
      <w:r w:rsidDel="00000000" w:rsidR="00000000" w:rsidRPr="00000000">
        <w:rPr>
          <w:rtl w:val="0"/>
        </w:rPr>
        <w:t xml:space="preserve">These lessons have very slightly different titles in the children’s book and online ebook (for example, numbers in brackets have been removed to avoid confusion.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earsonschoolsandfecolleges.co.uk/Primary/Mathematics/AllMathematicsresources/Power-Maths/power-maths-summer-home-editio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