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0AC2ABCA" w:rsidR="007174F8" w:rsidRPr="002A3AA4" w:rsidRDefault="003F661B" w:rsidP="00BA2526">
      <w:pPr>
        <w:tabs>
          <w:tab w:val="left" w:pos="9498"/>
        </w:tabs>
        <w:ind w:right="293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A3AA4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2A3AA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2A3AA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641"/>
      </w:tblGrid>
      <w:tr w:rsidR="00DC08C1" w14:paraId="7B3633F2" w14:textId="77777777" w:rsidTr="00264A06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34B6EA52" w:rsidR="00DC08C1" w:rsidRPr="008241C0" w:rsidRDefault="002A1F7E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1B71533D" w:rsidR="00DC08C1" w:rsidRPr="008241C0" w:rsidRDefault="00DC08C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F1" w14:textId="5A10C8F3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2A3AA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264A06">
        <w:trPr>
          <w:trHeight w:val="567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7E778AF2" w:rsidR="003E0C05" w:rsidRDefault="00BA2526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</w:p>
          <w:p w14:paraId="3B25F1BF" w14:textId="6F63686A" w:rsidR="003E0C05" w:rsidRPr="00BB2E40" w:rsidRDefault="003E0C05" w:rsidP="00162B05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264A0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31CC886E" w:rsidR="00DC08C1" w:rsidRPr="00050713" w:rsidRDefault="00BA2526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DC08C1" w:rsidRPr="004A12B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2957C108" w14:textId="6EBDDA67" w:rsidR="00DC08C1" w:rsidRPr="00260CE9" w:rsidRDefault="00BA2526" w:rsidP="00E2711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1. Demonstrate an understanding of perfect square and square root, concretely, pictorially and symbolically (limited to whole numbers). </w:t>
            </w: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9F2F85A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4E7C4E82" w14:textId="2CF10911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6E71FC">
              <w:rPr>
                <w:rFonts w:asciiTheme="majorHAnsi" w:hAnsiTheme="majorHAnsi"/>
                <w:sz w:val="20"/>
                <w:szCs w:val="20"/>
              </w:rPr>
              <w:t>Investigating Perfect Squares and Square Roots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02F0" w14:textId="77777777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749A59" w14:textId="77777777" w:rsidR="009567F6" w:rsidRDefault="009517F6" w:rsidP="00956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BF90EF" w14:textId="22A41787" w:rsidR="009517F6" w:rsidRPr="00276DCB" w:rsidRDefault="009517F6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1588A21" w14:textId="4FB11D58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2B77060" w14:textId="77777777" w:rsidR="009567F6" w:rsidRDefault="009517F6" w:rsidP="00951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AC58207" w14:textId="77777777" w:rsidR="00162B05" w:rsidRDefault="009517F6" w:rsidP="002A3AA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00" w14:textId="5B42BFD0" w:rsidR="00264A06" w:rsidRPr="002A3AA4" w:rsidRDefault="00264A06" w:rsidP="00264A06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4" w14:textId="77777777" w:rsidTr="00264A06">
        <w:tc>
          <w:tcPr>
            <w:tcW w:w="2694" w:type="dxa"/>
            <w:shd w:val="clear" w:color="auto" w:fill="auto"/>
          </w:tcPr>
          <w:p w14:paraId="7B36340B" w14:textId="4F7AB81B" w:rsidR="00DC08C1" w:rsidRPr="00260CE9" w:rsidRDefault="00BA2526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2. Determine the approximate square root of numbers that are not perfect squares (limited to whole numbers). </w:t>
            </w:r>
          </w:p>
        </w:tc>
        <w:tc>
          <w:tcPr>
            <w:tcW w:w="2835" w:type="dxa"/>
            <w:shd w:val="clear" w:color="auto" w:fill="auto"/>
          </w:tcPr>
          <w:p w14:paraId="342DE08D" w14:textId="77777777" w:rsidR="006E71FC" w:rsidRPr="00BB2E40" w:rsidRDefault="006E71FC" w:rsidP="006E71F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5F0C5909" w14:textId="77777777" w:rsidR="006E71FC" w:rsidRDefault="006E71FC" w:rsidP="006E71F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Investigating Perfect Squares and Square Roots</w:t>
            </w:r>
          </w:p>
          <w:p w14:paraId="7B36340C" w14:textId="3ACBB6BA" w:rsidR="00841A67" w:rsidRPr="00BB2E40" w:rsidRDefault="00841A67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770DEE6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4EB01D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C81130E" w14:textId="5FDB5C6A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EC4EE4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BB6001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2D2075A" w14:textId="77777777" w:rsidR="008E169D" w:rsidRPr="00264A06" w:rsidRDefault="0020314B" w:rsidP="002A3AA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</w:t>
            </w:r>
            <w:r w:rsidR="008E169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7B363413" w14:textId="761A1CDB" w:rsidR="00264A06" w:rsidRPr="002A3AA4" w:rsidRDefault="00264A06" w:rsidP="00264A06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E" w14:textId="77777777" w:rsidTr="00264A06">
        <w:tc>
          <w:tcPr>
            <w:tcW w:w="2694" w:type="dxa"/>
            <w:shd w:val="clear" w:color="auto" w:fill="auto"/>
          </w:tcPr>
          <w:p w14:paraId="7B363415" w14:textId="5FA73CC0" w:rsidR="00CF1AF7" w:rsidRPr="00260CE9" w:rsidRDefault="00BA2526" w:rsidP="00260C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>3. Demonstrate an understanding of percents greater than or equal to 0%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615DF0F" w14:textId="79D0C7F1" w:rsidR="008367F6" w:rsidRDefault="008367F6" w:rsidP="00BA252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171D52FF" w14:textId="6499DBCC" w:rsidR="00B06BB4" w:rsidRPr="008E169D" w:rsidRDefault="00B06BB4" w:rsidP="00BA25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5B05B59C" w14:textId="6912175F" w:rsidR="00B06BB4" w:rsidRPr="008E169D" w:rsidRDefault="00B06BB4" w:rsidP="00BA25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343CB2A2" w14:textId="6D7CF9F3" w:rsidR="002C018D" w:rsidRPr="008E169D" w:rsidRDefault="00B06BB4" w:rsidP="00BA2526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</w:p>
          <w:p w14:paraId="3ABBB62A" w14:textId="77777777" w:rsidR="008E169D" w:rsidRDefault="008E169D" w:rsidP="00BA252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48E4BA" w14:textId="47EF19C0" w:rsidR="002C018D" w:rsidRDefault="008E169D" w:rsidP="00BA252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16" w14:textId="54361D5A" w:rsidR="00162B05" w:rsidRPr="008E169D" w:rsidRDefault="008E169D" w:rsidP="008E16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C018D" w:rsidRPr="008E169D">
              <w:rPr>
                <w:rFonts w:asciiTheme="majorHAnsi" w:hAnsiTheme="majorHAnsi" w:cstheme="majorHAnsi"/>
                <w:sz w:val="20"/>
                <w:szCs w:val="20"/>
              </w:rPr>
              <w:t>Solving Problems Involving Coupons and Discounts</w:t>
            </w:r>
            <w:r w:rsidR="00B06BB4" w:rsidRPr="008E16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  <w:shd w:val="clear" w:color="auto" w:fill="auto"/>
          </w:tcPr>
          <w:p w14:paraId="2A144538" w14:textId="082F5490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386606E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12693364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C3386E3" w14:textId="4D22D89F" w:rsidR="009567F6" w:rsidRPr="009567F6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="00AE0F95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B0407F" w14:textId="4CDD1A10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the meaning of percents greater than 100% and less than 1%</w:t>
            </w:r>
            <w:r w:rsidR="00AE0F95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2AE64EAA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E10A3AF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36341D" w14:textId="321F3D1E" w:rsidR="00DC08C1" w:rsidRPr="0020314B" w:rsidRDefault="00DC08C1" w:rsidP="009517F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DC08C1" w:rsidRPr="00811A31" w14:paraId="7B363426" w14:textId="77777777" w:rsidTr="00264A06">
        <w:tc>
          <w:tcPr>
            <w:tcW w:w="2694" w:type="dxa"/>
            <w:shd w:val="clear" w:color="auto" w:fill="auto"/>
          </w:tcPr>
          <w:p w14:paraId="7B36341F" w14:textId="3EBDD558" w:rsidR="00DC08C1" w:rsidRPr="00260CE9" w:rsidRDefault="00BA2526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4. Demonstrate an understanding of ratio and rate. </w:t>
            </w:r>
          </w:p>
        </w:tc>
        <w:tc>
          <w:tcPr>
            <w:tcW w:w="2835" w:type="dxa"/>
            <w:shd w:val="clear" w:color="auto" w:fill="auto"/>
          </w:tcPr>
          <w:p w14:paraId="7E69322A" w14:textId="77777777" w:rsidR="00B06BB4" w:rsidRDefault="00B06BB4" w:rsidP="00B06BB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C9A8F49" w14:textId="5C6835DC" w:rsidR="00B06BB4" w:rsidRPr="008E169D" w:rsidRDefault="008E169D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06BB4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6077CEE4" w14:textId="50125126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7B363420" w14:textId="05D216AF" w:rsidR="00841A67" w:rsidRPr="00B06BB4" w:rsidRDefault="00B06BB4" w:rsidP="00B06BB4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1" w:type="dxa"/>
            <w:shd w:val="clear" w:color="auto" w:fill="auto"/>
          </w:tcPr>
          <w:p w14:paraId="3B18BC12" w14:textId="263C1EC5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442FF17" w14:textId="053C7CD1" w:rsidR="00276DCB" w:rsidRPr="00276DCB" w:rsidRDefault="0020314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1B540D" w14:textId="477307F8" w:rsidR="0020314B" w:rsidRPr="00276DCB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="00276DCB"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="00276DCB"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E351B8" w14:textId="593DAA88" w:rsidR="00276DC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="00AE0F95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A03E1E2" w14:textId="3F478C6F" w:rsidR="0020314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334B69D" w14:textId="1D22086A" w:rsidR="0020314B" w:rsidRPr="00276DCB" w:rsidRDefault="0020314B" w:rsidP="0020314B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276DC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: Regularity and repetition form patterns that can be generalized and predicted mathematically.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69A1050" w14:textId="77777777" w:rsidR="00276DC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4E4688" w14:textId="2F6EB255" w:rsidR="0020314B" w:rsidRPr="00276DCB" w:rsidRDefault="0020314B" w:rsidP="00276DC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73786603" w:rsidR="00AC054A" w:rsidRPr="0020314B" w:rsidRDefault="00AC054A" w:rsidP="003472A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20314B" w:rsidRPr="00260CE9" w14:paraId="7B36342F" w14:textId="77777777" w:rsidTr="00264A06">
        <w:tc>
          <w:tcPr>
            <w:tcW w:w="2694" w:type="dxa"/>
            <w:shd w:val="clear" w:color="auto" w:fill="auto"/>
          </w:tcPr>
          <w:p w14:paraId="13760CFE" w14:textId="13AE6065" w:rsidR="0020314B" w:rsidRPr="00260CE9" w:rsidRDefault="00BA2526" w:rsidP="0020314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5. Solve problems that involve rates, ratios and proportional reasoning. </w:t>
            </w:r>
          </w:p>
          <w:p w14:paraId="7B363427" w14:textId="1D7D8CEB" w:rsidR="0020314B" w:rsidRPr="00260CE9" w:rsidRDefault="0020314B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DCFFB0" w14:textId="77777777" w:rsidR="0020314B" w:rsidRDefault="0020314B" w:rsidP="0020314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D49CFD0" w14:textId="000086BA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Ratios </w:t>
            </w:r>
          </w:p>
          <w:p w14:paraId="23B64657" w14:textId="7F813C86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6B891B98" w14:textId="21381CF5" w:rsidR="0020314B" w:rsidRPr="008E169D" w:rsidRDefault="0020314B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 </w:t>
            </w:r>
          </w:p>
          <w:p w14:paraId="087AB71C" w14:textId="6E7D85D6" w:rsidR="0020314B" w:rsidRPr="008E169D" w:rsidRDefault="0020314B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Proportions, Ratios, and Rate</w:t>
            </w:r>
          </w:p>
          <w:p w14:paraId="3A7F8BB7" w14:textId="77777777" w:rsidR="002C018D" w:rsidRDefault="002C018D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1FACF8" w14:textId="0C3DCC5A" w:rsidR="002C018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28" w14:textId="55BB082B" w:rsidR="002C018D" w:rsidRPr="00C73C48" w:rsidRDefault="002D15D9" w:rsidP="00C73C4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 </w:t>
            </w:r>
            <w:r w:rsidR="002C018D" w:rsidRPr="00C73C48">
              <w:rPr>
                <w:rFonts w:ascii="Calibri" w:hAnsi="Calibri" w:cs="Calibri"/>
                <w:color w:val="000000"/>
                <w:sz w:val="20"/>
                <w:szCs w:val="20"/>
              </w:rPr>
              <w:t>Calculating the Best Buy</w:t>
            </w:r>
            <w:r w:rsidR="002C018D" w:rsidRPr="00C73C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  <w:shd w:val="clear" w:color="auto" w:fill="auto"/>
          </w:tcPr>
          <w:p w14:paraId="1A874778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2CD7439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EF0A04D" w14:textId="77777777" w:rsidR="00276DCB" w:rsidRPr="00276DCB" w:rsidRDefault="00276DC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0426B89" w14:textId="38E5F89F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</w:t>
            </w:r>
            <w:r w:rsidR="00162B05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F243E22" w14:textId="77777777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D895DF0" w14:textId="77777777" w:rsidR="00FE233D" w:rsidRPr="00276DCB" w:rsidRDefault="0020314B" w:rsidP="00FE233D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br/>
            </w:r>
            <w:r w:rsidR="00FE233D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 Regularity and repetition form patterns that can be generalized and predicted mathematically.</w:t>
            </w:r>
            <w:r w:rsidR="00FE233D"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9E5C424" w14:textId="77777777" w:rsidR="00FE233D" w:rsidRPr="00276DCB" w:rsidRDefault="00FE233D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E10E15" w14:textId="77777777" w:rsidR="0020314B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6EFA6B5C" w:rsidR="00162B05" w:rsidRPr="00FE233D" w:rsidRDefault="00162B05" w:rsidP="00162B0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14B" w:rsidRPr="00260CE9" w14:paraId="7B363437" w14:textId="77777777" w:rsidTr="00264A06">
        <w:tc>
          <w:tcPr>
            <w:tcW w:w="2694" w:type="dxa"/>
            <w:shd w:val="clear" w:color="auto" w:fill="auto"/>
          </w:tcPr>
          <w:p w14:paraId="7B363430" w14:textId="23B4CAD9" w:rsidR="0020314B" w:rsidRPr="00260CE9" w:rsidRDefault="00BA2526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6. Demonstrate an understanding of multiplying and dividing positive fractions and mixed numbers,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35439CC1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3: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Operations with Fractions and </w:t>
            </w:r>
            <w:r w:rsidR="008E16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Mixed Numbers</w:t>
            </w:r>
          </w:p>
          <w:p w14:paraId="21944DAE" w14:textId="2948678D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Fractions and Mixed Numbers </w:t>
            </w:r>
          </w:p>
          <w:p w14:paraId="64F7C02F" w14:textId="77777777" w:rsidR="0020314B" w:rsidRDefault="0020314B" w:rsidP="00203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Fractions and Mixed Numbers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363431" w14:textId="34BBF175" w:rsidR="00162B05" w:rsidRPr="00260CE9" w:rsidRDefault="00162B05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1564FADE" w14:textId="17B3F5FE" w:rsidR="0020314B" w:rsidRPr="00FE233D" w:rsidRDefault="00FE233D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Quantities and numbers can be operated on to determine how many and how much.</w:t>
            </w:r>
            <w:r w:rsidR="0020314B"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DF8C255" w14:textId="6DF0CD5D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440CC0" w14:textId="219558C6" w:rsidR="0020314B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00D0EC4A" w:rsidR="0020314B" w:rsidRPr="00FE233D" w:rsidRDefault="0020314B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20314B" w:rsidRPr="00260CE9" w14:paraId="7B363440" w14:textId="77777777" w:rsidTr="00264A06">
        <w:tc>
          <w:tcPr>
            <w:tcW w:w="2694" w:type="dxa"/>
            <w:shd w:val="clear" w:color="auto" w:fill="auto"/>
          </w:tcPr>
          <w:p w14:paraId="7B363438" w14:textId="69D6BD99" w:rsidR="0020314B" w:rsidRPr="00260CE9" w:rsidRDefault="00BA2526" w:rsidP="0020314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0314B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7. Demonstrate an understanding of multiplication and division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67A83BBB" w14:textId="6AC63302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Fluency with Whole Numbers and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6AEDAF0F" w14:textId="6C5E34F8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 Multiplying Integers </w:t>
            </w:r>
          </w:p>
          <w:p w14:paraId="2DFD0746" w14:textId="609EAB3D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Dividing Integers </w:t>
            </w:r>
          </w:p>
          <w:p w14:paraId="77CC6109" w14:textId="7AF0406B" w:rsidR="0020314B" w:rsidRPr="008E169D" w:rsidRDefault="0020314B" w:rsidP="0020314B">
            <w:pPr>
              <w:rPr>
                <w:rFonts w:ascii="Segoe UI" w:hAnsi="Segoe UI" w:cs="Segoe U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>Order of Operations with Integers</w:t>
            </w:r>
          </w:p>
          <w:p w14:paraId="7B363439" w14:textId="5174C6BB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270C3261" w14:textId="77777777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4A45D7" w14:textId="77777777" w:rsidR="00FE233D" w:rsidRPr="00FE233D" w:rsidRDefault="0020314B" w:rsidP="00FE233D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7A37DFB" w14:textId="1ED001B8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Models and demonstrates an understanding of integer addition and subtraction.</w:t>
            </w:r>
            <w:r w:rsidRPr="00FE233D">
              <w:rPr>
                <w:rStyle w:val="scxw102030057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BF07D49" w14:textId="77777777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25715401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integer multiplication and division.</w:t>
            </w:r>
            <w:r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5EB35E" w14:textId="77777777" w:rsidR="00FE233D" w:rsidRPr="00FE233D" w:rsidRDefault="00FE233D" w:rsidP="00FE233D">
            <w:pPr>
              <w:pStyle w:val="paragraph"/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eveloping fluency of operations</w:t>
            </w:r>
            <w:r w:rsidR="0020314B"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EC9120" w14:textId="77777777" w:rsidR="00FE233D" w:rsidRPr="00FE233D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Estimates and solves integer addition and subtraction using efficient strategies.</w:t>
            </w:r>
          </w:p>
          <w:p w14:paraId="61DD427E" w14:textId="33DDECBB" w:rsidR="0020314B" w:rsidRPr="00162B05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Solves </w:t>
            </w:r>
            <w:r w:rsidR="0020314B"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integer multiplication and division using efficient strategies.</w:t>
            </w:r>
            <w:r w:rsidR="0020314B"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F" w14:textId="65B813D2" w:rsidR="0020314B" w:rsidRPr="009517F6" w:rsidRDefault="0020314B" w:rsidP="0020314B">
            <w:pP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B363485" w14:textId="6AB2A8B2" w:rsidR="007174F8" w:rsidRPr="002A3AA4" w:rsidRDefault="00AC054A" w:rsidP="002A3AA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A3AA4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Prince Edward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Island 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2A3AA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2A3AA4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6"/>
        <w:gridCol w:w="3552"/>
        <w:gridCol w:w="4144"/>
      </w:tblGrid>
      <w:tr w:rsidR="003A40B7" w14:paraId="7B36348A" w14:textId="77777777" w:rsidTr="00162B05">
        <w:trPr>
          <w:trHeight w:val="567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6" w14:textId="15820506" w:rsidR="003A40B7" w:rsidRPr="00260CE9" w:rsidRDefault="002A1F7E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7" w14:textId="15515F53" w:rsidR="003A40B7" w:rsidRPr="005A1423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9" w14:textId="06E7F404" w:rsidR="003A40B7" w:rsidRPr="005A1423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A3AA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162B05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506A4C06" w:rsidR="008268BD" w:rsidRPr="00260CE9" w:rsidRDefault="00BA2526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61FA2CEF" w:rsidR="003A40B7" w:rsidRPr="00260CE9" w:rsidRDefault="00BA2526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12B54CED" w:rsidR="003A40B7" w:rsidRPr="00260CE9" w:rsidRDefault="00BA2526" w:rsidP="00012A5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1. Graph and analyze two-variable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F87" w14:textId="6CD7DACB" w:rsidR="003A40B7" w:rsidRPr="008E169D" w:rsidRDefault="003A40B7" w:rsidP="00AB7F8F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C25782"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</w:t>
            </w:r>
          </w:p>
          <w:p w14:paraId="7B363491" w14:textId="759612E0" w:rsidR="00AB7F8F" w:rsidRPr="005A1423" w:rsidRDefault="00AB7F8F" w:rsidP="00AB7F8F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1CC" w14:textId="77777777" w:rsidR="0020314B" w:rsidRPr="00227547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80B0940" w14:textId="39F19F18" w:rsidR="00FE233D" w:rsidRPr="00227547" w:rsidRDefault="0020314B" w:rsidP="00227547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</w:t>
            </w:r>
            <w:r w:rsidR="00227547"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386DC0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AED578E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B1D8244" w14:textId="77777777" w:rsidR="00FE233D" w:rsidRPr="00227547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64E618" w14:textId="60F4D1B2" w:rsidR="0020314B" w:rsidRPr="00227547" w:rsidRDefault="00AB7F8F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93" w14:textId="1B94DE58" w:rsidR="00437EF3" w:rsidRPr="0020314B" w:rsidRDefault="00437EF3" w:rsidP="00A20105">
            <w:pPr>
              <w:rPr>
                <w:rFonts w:ascii="Open Sans" w:hAnsi="Open Sans" w:cs="Open Sans"/>
                <w:sz w:val="22"/>
                <w:szCs w:val="22"/>
                <w:lang w:val="en-CA" w:eastAsia="en-CA"/>
              </w:rPr>
            </w:pP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634C874F" w:rsidR="00B31810" w:rsidRPr="002A3AA4" w:rsidRDefault="00B31810" w:rsidP="00345D0D">
      <w:pPr>
        <w:jc w:val="center"/>
        <w:rPr>
          <w:rFonts w:asciiTheme="majorHAnsi" w:hAnsiTheme="majorHAnsi" w:cstheme="majorHAnsi"/>
        </w:rPr>
      </w:pPr>
      <w:r w:rsidRPr="002A3AA4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2A3AA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2A3AA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2A3AA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A3AA4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67"/>
        <w:gridCol w:w="3407"/>
        <w:gridCol w:w="4438"/>
      </w:tblGrid>
      <w:tr w:rsidR="003A40B7" w14:paraId="7B3634AE" w14:textId="77777777" w:rsidTr="00162B05">
        <w:trPr>
          <w:trHeight w:val="510"/>
        </w:trPr>
        <w:tc>
          <w:tcPr>
            <w:tcW w:w="1159" w:type="pct"/>
            <w:shd w:val="clear" w:color="auto" w:fill="F2DBDB" w:themeFill="accent2" w:themeFillTint="33"/>
            <w:vAlign w:val="center"/>
          </w:tcPr>
          <w:p w14:paraId="7B3634AA" w14:textId="01C30EFB" w:rsidR="003A40B7" w:rsidRPr="006E5567" w:rsidRDefault="002A1F7E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668" w:type="pct"/>
            <w:shd w:val="clear" w:color="auto" w:fill="F2DBDB" w:themeFill="accent2" w:themeFillTint="33"/>
            <w:vAlign w:val="center"/>
          </w:tcPr>
          <w:p w14:paraId="7B3634AB" w14:textId="0DAA5809" w:rsidR="003A40B7" w:rsidRPr="006E5567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74" w:type="pct"/>
            <w:shd w:val="clear" w:color="auto" w:fill="F2DBDB" w:themeFill="accent2" w:themeFillTint="33"/>
            <w:vAlign w:val="center"/>
          </w:tcPr>
          <w:p w14:paraId="7B3634AD" w14:textId="54F35588" w:rsidR="003A40B7" w:rsidRPr="006E5567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2A3AA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0B4D" w14:paraId="2211650C" w14:textId="77777777" w:rsidTr="00162B05">
        <w:trPr>
          <w:trHeight w:val="51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49663146" w:rsidR="008268BD" w:rsidRDefault="00BA2526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</w:p>
          <w:p w14:paraId="2668EB23" w14:textId="328C46B1" w:rsidR="008268BD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9517F6">
        <w:trPr>
          <w:trHeight w:val="20"/>
        </w:trPr>
        <w:tc>
          <w:tcPr>
            <w:tcW w:w="1159" w:type="pct"/>
          </w:tcPr>
          <w:p w14:paraId="79A68ACC" w14:textId="2DC12257" w:rsidR="003A40B7" w:rsidRPr="006E5567" w:rsidRDefault="00BA2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3A40B7" w:rsidRPr="006E5567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6B7F29E0" w14:textId="0B2CD9CB" w:rsidR="00260CE9" w:rsidRPr="00996386" w:rsidRDefault="00BA2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2. Model and solve problems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using linear equations of the form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F0A245A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532182F6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864BE3">
              <w:rPr>
                <w:rFonts w:asciiTheme="majorHAnsi" w:hAnsiTheme="majorHAnsi" w:cstheme="maj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=b</m:t>
              </m:r>
            </m:oMath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, </w:t>
            </w:r>
            <w:r w:rsidRPr="00BA252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47A9F148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9A2FCC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+b=c , </m:t>
              </m:r>
            </m:oMath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7F287A60" w14:textId="77777777" w:rsidR="002D75E3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 a(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)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AF" w14:textId="1E277D14" w:rsidR="003A40B7" w:rsidRPr="006E5567" w:rsidRDefault="00BA2526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concretely, pictorially and symbolically,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="00260CE9" w:rsidRPr="00BA252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260CE9" w:rsidRPr="00BA252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260CE9" w:rsidRPr="00BA252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="00260CE9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668" w:type="pct"/>
          </w:tcPr>
          <w:p w14:paraId="022FFCF8" w14:textId="67CEC6E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Using Models</w:t>
            </w:r>
          </w:p>
          <w:p w14:paraId="62838F03" w14:textId="1003663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Algebraically</w:t>
            </w:r>
          </w:p>
          <w:p w14:paraId="563D1EE3" w14:textId="5F4DC302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Equations Involving the Distributive Property</w:t>
            </w:r>
          </w:p>
          <w:p w14:paraId="7B3634B0" w14:textId="1FA0522C" w:rsidR="003238B6" w:rsidRPr="006E5567" w:rsidRDefault="00815E0A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Problems Using Linear Equations </w:t>
            </w:r>
            <w:r w:rsidR="003238B6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174" w:type="pct"/>
            <w:shd w:val="clear" w:color="auto" w:fill="auto"/>
          </w:tcPr>
          <w:p w14:paraId="15232191" w14:textId="77777777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CBE8445" w14:textId="77777777" w:rsidR="00227547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6CF6BC" w14:textId="29B2D27E" w:rsidR="00AB7F8F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84D50C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EF31CEB" w14:textId="77777777" w:rsidR="00227547" w:rsidRPr="00404729" w:rsidRDefault="00AB7F8F" w:rsidP="00AB7F8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9x).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695B2A1" w14:textId="47DCF42E" w:rsidR="00AB7F8F" w:rsidRPr="00404729" w:rsidRDefault="00AB7F8F" w:rsidP="0040472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Applies the distributive property to expressions and identiﬁes common factors to create equivalent expressions (e.g., 4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+ 12 = 4(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133471" w14:textId="3FA93FAF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variables, algebraic expressions, and equations to represent mathematical relations.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1C07FE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10916704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– 12, when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(</m:t>
              </m:r>
            </m:oMath>
            <w:r w:rsidR="00227547"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bh</w:t>
            </w:r>
            <w:r w:rsidR="00227547"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), 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cm).</w:t>
            </w:r>
            <w:r w:rsidRPr="00404729">
              <w:rPr>
                <w:rStyle w:val="scxw1091670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0AB52F" w14:textId="7529E0FD" w:rsidR="00781A13" w:rsidRPr="009567F6" w:rsidRDefault="00AB7F8F" w:rsidP="0052125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sz w:val="22"/>
                <w:szCs w:val="22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+ 2).</w:t>
            </w:r>
            <w:r w:rsidRPr="00227547">
              <w:rPr>
                <w:rStyle w:val="scxw10916704"/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  <w:p w14:paraId="7B3634B2" w14:textId="40707A25" w:rsidR="00AB7F8F" w:rsidRPr="00AB7F8F" w:rsidRDefault="00AB7F8F" w:rsidP="0052125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64568D9B" w:rsidR="007174F8" w:rsidRPr="002A3AA4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A3AA4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2A3AA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2A3AA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2A3AA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A3AA4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A3AA4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A3AA4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A3AA4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A3AA4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13"/>
        <w:gridCol w:w="2961"/>
        <w:gridCol w:w="4428"/>
        <w:gridCol w:w="10"/>
      </w:tblGrid>
      <w:tr w:rsidR="00C5385C" w:rsidRPr="00245E83" w14:paraId="7B3634BC" w14:textId="77777777" w:rsidTr="00162B05">
        <w:trPr>
          <w:trHeight w:val="567"/>
        </w:trPr>
        <w:tc>
          <w:tcPr>
            <w:tcW w:w="1377" w:type="pct"/>
            <w:shd w:val="clear" w:color="auto" w:fill="F2DBDB" w:themeFill="accent2" w:themeFillTint="33"/>
            <w:vAlign w:val="center"/>
          </w:tcPr>
          <w:p w14:paraId="7B3634B8" w14:textId="6F73AB53" w:rsidR="00C5385C" w:rsidRPr="00260CE9" w:rsidRDefault="002A1F7E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450" w:type="pct"/>
            <w:shd w:val="clear" w:color="auto" w:fill="F2DBDB" w:themeFill="accent2" w:themeFillTint="33"/>
            <w:vAlign w:val="center"/>
          </w:tcPr>
          <w:p w14:paraId="7B3634B9" w14:textId="55CE5364" w:rsidR="00C5385C" w:rsidRPr="00245E83" w:rsidRDefault="00C5385C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174" w:type="pct"/>
            <w:gridSpan w:val="2"/>
            <w:shd w:val="clear" w:color="auto" w:fill="F2DBDB" w:themeFill="accent2" w:themeFillTint="33"/>
            <w:vAlign w:val="center"/>
          </w:tcPr>
          <w:p w14:paraId="7B3634BB" w14:textId="0ED15735" w:rsidR="00C5385C" w:rsidRPr="00245E83" w:rsidRDefault="00C5385C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2A3AA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162B05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0E5500AE" w:rsidR="008268BD" w:rsidRPr="00260CE9" w:rsidRDefault="00BA2526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2782C34D" w:rsidR="00C5385C" w:rsidRPr="00260CE9" w:rsidRDefault="00BA2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C5385C"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BD" w14:textId="2846B195" w:rsidR="0078184A" w:rsidRPr="00260CE9" w:rsidRDefault="00BA2526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1. Develop and apply the Pythagorean theorem to solve problems. </w:t>
            </w:r>
          </w:p>
        </w:tc>
        <w:tc>
          <w:tcPr>
            <w:tcW w:w="1450" w:type="pct"/>
          </w:tcPr>
          <w:p w14:paraId="1B78925F" w14:textId="77540D68" w:rsidR="00923294" w:rsidRDefault="00815E0A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DEF57E5" w14:textId="63FF5FA4" w:rsidR="009517F6" w:rsidRPr="008E169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2AADB6D6" w14:textId="23E314C0" w:rsidR="00815E0A" w:rsidRPr="008E169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</w:t>
            </w:r>
          </w:p>
          <w:p w14:paraId="7B3634BE" w14:textId="3C8918E7" w:rsidR="00C2043E" w:rsidRPr="00D83ABF" w:rsidRDefault="00C2043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8" w:type="pct"/>
            <w:shd w:val="clear" w:color="auto" w:fill="auto"/>
          </w:tcPr>
          <w:p w14:paraId="2C5B5059" w14:textId="4FCA70A8" w:rsidR="00E722D9" w:rsidRDefault="00AB7F8F" w:rsidP="00BA2526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</w:t>
            </w:r>
            <w:r w:rsidR="009567F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9C1FF11" w14:textId="2450ADBB" w:rsidR="00AB7F8F" w:rsidRDefault="007B466E" w:rsidP="00BA2526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Selecting and using units to estimate, measure, construct, and make comparisons</w:t>
            </w:r>
          </w:p>
          <w:p w14:paraId="2D0DEDCA" w14:textId="682AAA87" w:rsidR="007B466E" w:rsidRPr="00404729" w:rsidRDefault="007B466E" w:rsidP="00BA2526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66D6B45E" w14:textId="77777777" w:rsidR="007B466E" w:rsidRDefault="007B466E" w:rsidP="00BA2526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2C6A25B1" w14:textId="77777777" w:rsidR="007B466E" w:rsidRDefault="007B466E" w:rsidP="00BA2526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7B3634C0" w14:textId="342D8CD1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C5385C" w:rsidRPr="00245E83" w14:paraId="7B3634C6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7B3634C2" w14:textId="0AAADDC0" w:rsidR="0078184A" w:rsidRPr="00260CE9" w:rsidRDefault="00BA2526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2. Draw and construct nets for 3-D objects. </w:t>
            </w:r>
          </w:p>
        </w:tc>
        <w:tc>
          <w:tcPr>
            <w:tcW w:w="1450" w:type="pct"/>
          </w:tcPr>
          <w:p w14:paraId="5388513A" w14:textId="59B5DB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7B3634C3" w14:textId="30A7E17C" w:rsidR="00C5385C" w:rsidRPr="008E169D" w:rsidRDefault="00815E0A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Nets of Prisms and Cylinders </w:t>
            </w:r>
          </w:p>
        </w:tc>
        <w:tc>
          <w:tcPr>
            <w:tcW w:w="2168" w:type="pct"/>
            <w:shd w:val="clear" w:color="auto" w:fill="auto"/>
          </w:tcPr>
          <w:p w14:paraId="43979BA7" w14:textId="4625AA76" w:rsidR="00C5385C" w:rsidRDefault="007B466E" w:rsidP="007A49A3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</w:t>
            </w:r>
            <w:r w:rsidR="009567F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</w:p>
          <w:p w14:paraId="6A5ADE5A" w14:textId="77777777" w:rsidR="007B466E" w:rsidRDefault="007B466E" w:rsidP="007A49A3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274B2F22" w14:textId="77777777" w:rsidR="007B466E" w:rsidRDefault="007B466E" w:rsidP="007A49A3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(e.g. cylinder, hexagonal prism)</w:t>
            </w:r>
          </w:p>
          <w:p w14:paraId="7B3634C5" w14:textId="6DA66E30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</w:tc>
      </w:tr>
      <w:tr w:rsidR="00011C66" w:rsidRPr="00245E83" w14:paraId="1264012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103A6055" w14:textId="08842739" w:rsidR="00260CE9" w:rsidRPr="00260CE9" w:rsidRDefault="00BA2526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3. Determine the surface area of: </w:t>
            </w:r>
          </w:p>
          <w:p w14:paraId="5E18316D" w14:textId="612D1323" w:rsidR="00BA2526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>• right rectangular prisms</w:t>
            </w:r>
            <w:r w:rsidR="00BA2526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03D69C7" w14:textId="19441F2D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>• right triangular prisms</w:t>
            </w:r>
            <w:r w:rsidR="00BA2526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81CAD78" w14:textId="77777777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cylinders to solve problems. </w:t>
            </w:r>
          </w:p>
          <w:p w14:paraId="42CBABB0" w14:textId="0778951D" w:rsidR="003A486A" w:rsidRPr="00260CE9" w:rsidRDefault="003A486A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</w:tcPr>
          <w:p w14:paraId="74CAB6AB" w14:textId="3E1E06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1A864646" w14:textId="292C1CB6" w:rsidR="00011C66" w:rsidRPr="008E169D" w:rsidRDefault="00815E0A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Surface Area of Prisms and Cylinders</w:t>
            </w:r>
          </w:p>
        </w:tc>
        <w:tc>
          <w:tcPr>
            <w:tcW w:w="2168" w:type="pct"/>
            <w:shd w:val="clear" w:color="auto" w:fill="auto"/>
          </w:tcPr>
          <w:p w14:paraId="2271E193" w14:textId="77777777" w:rsidR="00950447" w:rsidRPr="00404729" w:rsidRDefault="00950447" w:rsidP="007A49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B04EC41" w14:textId="77777777" w:rsidR="00404729" w:rsidRPr="00404729" w:rsidRDefault="00950447" w:rsidP="007A49A3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40F9F35" w14:textId="77777777" w:rsidR="00BF68AB" w:rsidRDefault="00950447" w:rsidP="007A49A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429BE9" w14:textId="1E059615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60CE9" w:rsidRPr="00245E83" w14:paraId="265D1C38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13858206" w14:textId="70C3F64E" w:rsidR="00260CE9" w:rsidRPr="00260CE9" w:rsidRDefault="00BA2526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4. Develop and apply formulas for determining the volume of right rectangular prisms, right triangular prisms and right cylinders. </w:t>
            </w:r>
          </w:p>
        </w:tc>
        <w:tc>
          <w:tcPr>
            <w:tcW w:w="1450" w:type="pct"/>
          </w:tcPr>
          <w:p w14:paraId="71F3BFC9" w14:textId="77777777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03D9D35C" w14:textId="412AE949" w:rsidR="00260CE9" w:rsidRPr="007D373D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Volume of Prisms and Cylinders</w:t>
            </w:r>
          </w:p>
        </w:tc>
        <w:tc>
          <w:tcPr>
            <w:tcW w:w="2168" w:type="pct"/>
            <w:shd w:val="clear" w:color="auto" w:fill="auto"/>
          </w:tcPr>
          <w:p w14:paraId="0AF2C8ED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F63EBA6" w14:textId="77777777" w:rsidR="00404729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8C1A3F8" w14:textId="77777777" w:rsidR="00260CE9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8E2638" w14:textId="3C17FDD1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1EF6ACB" w14:textId="09FCD794" w:rsidR="00CA3760" w:rsidRPr="00837044" w:rsidRDefault="00CA3760" w:rsidP="007A49A3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37044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A2526" w:rsidRPr="0083704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3704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3704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837044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837044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837044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837044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837044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162B05">
        <w:trPr>
          <w:trHeight w:val="567"/>
        </w:trPr>
        <w:tc>
          <w:tcPr>
            <w:tcW w:w="2694" w:type="dxa"/>
            <w:shd w:val="clear" w:color="auto" w:fill="F2DBDB" w:themeFill="accent2" w:themeFillTint="33"/>
            <w:vAlign w:val="center"/>
          </w:tcPr>
          <w:p w14:paraId="7B3634E7" w14:textId="201ECF63" w:rsidR="00E91821" w:rsidRPr="00245E83" w:rsidRDefault="002A1F7E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14:paraId="7B3634E8" w14:textId="453A8942" w:rsidR="00E91821" w:rsidRPr="00245E83" w:rsidRDefault="00E9182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F2DBDB" w:themeFill="accent2" w:themeFillTint="33"/>
            <w:vAlign w:val="center"/>
          </w:tcPr>
          <w:p w14:paraId="7B3634EA" w14:textId="27A2ADCF" w:rsidR="00E91821" w:rsidRPr="00245E83" w:rsidRDefault="00E91821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3704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162B05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3986B4D2" w:rsidR="008268BD" w:rsidRDefault="00BA2526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1BA46E89" w:rsidR="00E91821" w:rsidRPr="00245E83" w:rsidRDefault="00BA2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91821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E91821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17CB0538" w:rsidR="00DF631E" w:rsidRPr="00260CE9" w:rsidRDefault="007A49A3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5. Draw and interpret top, front and side views of 3-D objects composed of right rectangular prisms. </w:t>
            </w:r>
          </w:p>
        </w:tc>
        <w:tc>
          <w:tcPr>
            <w:tcW w:w="2976" w:type="dxa"/>
          </w:tcPr>
          <w:p w14:paraId="2811F6C9" w14:textId="65797AE8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</w:t>
            </w:r>
            <w:r w:rsidR="009567F6">
              <w:rPr>
                <w:rFonts w:asciiTheme="majorHAnsi" w:hAnsiTheme="maj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ment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0495128C" w14:textId="72A8945D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Building 3-D Objects from their Views</w:t>
            </w:r>
          </w:p>
          <w:p w14:paraId="448A653B" w14:textId="5B01AF06" w:rsidR="00BD0D6D" w:rsidRPr="007D373D" w:rsidRDefault="00BD0D6D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Rotations of 3-D Objects </w:t>
            </w:r>
          </w:p>
          <w:p w14:paraId="7D211B33" w14:textId="65F53FAD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9" w:type="dxa"/>
            <w:shd w:val="clear" w:color="auto" w:fill="auto"/>
          </w:tcPr>
          <w:p w14:paraId="1FD2C3D3" w14:textId="77777777" w:rsidR="00404729" w:rsidRPr="00404729" w:rsidRDefault="00950447" w:rsidP="00064EA0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Idea: Objects can be located in space and 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A1B730F" w14:textId="77777777" w:rsidR="00404729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Designs and represents compound 3-D objects using 2-D representations from multiple perspectives (e.g., isometric sketches, orthographic sketches, nets).</w:t>
            </w:r>
          </w:p>
          <w:p w14:paraId="3EC9059A" w14:textId="4CDFA074" w:rsidR="00950447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72B16AB8" w:rsidR="00950447" w:rsidRPr="00950447" w:rsidRDefault="00950447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Pr="00837044" w:rsidRDefault="0005108A" w:rsidP="006939B9">
      <w:pPr>
        <w:jc w:val="center"/>
        <w:rPr>
          <w:rFonts w:asciiTheme="majorHAnsi" w:hAnsiTheme="majorHAnsi" w:cstheme="majorHAnsi"/>
          <w:b/>
        </w:rPr>
      </w:pPr>
      <w:r w:rsidRPr="00837044">
        <w:rPr>
          <w:rFonts w:asciiTheme="majorHAnsi" w:hAnsiTheme="majorHAnsi" w:cstheme="majorHAnsi"/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7FC3D24D" w:rsidR="006939B9" w:rsidRPr="00837044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83704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3704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83704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837044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162B05">
        <w:trPr>
          <w:trHeight w:val="567"/>
        </w:trPr>
        <w:tc>
          <w:tcPr>
            <w:tcW w:w="2835" w:type="dxa"/>
            <w:shd w:val="clear" w:color="auto" w:fill="F2DBDB" w:themeFill="accent2" w:themeFillTint="33"/>
            <w:vAlign w:val="center"/>
          </w:tcPr>
          <w:p w14:paraId="10CD6977" w14:textId="3F9B4669" w:rsidR="006939B9" w:rsidRPr="00245E83" w:rsidRDefault="002A1F7E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14:paraId="3353C456" w14:textId="4A10D7B6" w:rsidR="006939B9" w:rsidRPr="00245E83" w:rsidRDefault="006939B9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F2DBDB" w:themeFill="accent2" w:themeFillTint="33"/>
            <w:vAlign w:val="center"/>
          </w:tcPr>
          <w:p w14:paraId="2F9FE35F" w14:textId="57B8854D" w:rsidR="006939B9" w:rsidRPr="00245E83" w:rsidRDefault="006939B9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3704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162B05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75BFFB86" w:rsidR="008268BD" w:rsidRDefault="00BA2526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10241099" w:rsidR="006939B9" w:rsidRPr="00245E83" w:rsidRDefault="00BA2526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6939B9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939B9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2AC82D5" w14:textId="77777777" w:rsidR="007A49A3" w:rsidRPr="007A49A3" w:rsidRDefault="007A49A3" w:rsidP="007A4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60CE9"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6. Demonstrate an understanding of </w:t>
            </w:r>
            <w:r w:rsidRPr="007A49A3">
              <w:rPr>
                <w:rFonts w:asciiTheme="majorHAnsi" w:hAnsiTheme="majorHAnsi" w:cstheme="majorHAnsi"/>
                <w:sz w:val="20"/>
                <w:szCs w:val="20"/>
              </w:rPr>
              <w:t>tessellation by:</w:t>
            </w:r>
          </w:p>
          <w:p w14:paraId="6F241086" w14:textId="04CFF38D" w:rsidR="007A49A3" w:rsidRPr="007A49A3" w:rsidRDefault="007A49A3" w:rsidP="007A49A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7A49A3">
              <w:rPr>
                <w:rFonts w:asciiTheme="majorHAnsi" w:hAnsiTheme="majorHAnsi" w:cstheme="majorHAnsi"/>
                <w:sz w:val="20"/>
                <w:szCs w:val="20"/>
              </w:rPr>
              <w:t>explaining the properties of shapes that make tessellating possible;</w:t>
            </w:r>
          </w:p>
          <w:p w14:paraId="559ADB24" w14:textId="1426AFC4" w:rsidR="007A49A3" w:rsidRPr="007A49A3" w:rsidRDefault="007A49A3" w:rsidP="007A49A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7A49A3">
              <w:rPr>
                <w:rFonts w:asciiTheme="majorHAnsi" w:hAnsiTheme="majorHAnsi" w:cstheme="majorHAnsi"/>
                <w:sz w:val="20"/>
                <w:szCs w:val="20"/>
              </w:rPr>
              <w:t>creating tessellations;</w:t>
            </w:r>
          </w:p>
          <w:p w14:paraId="1EF80421" w14:textId="77777777" w:rsidR="006939B9" w:rsidRPr="007A49A3" w:rsidRDefault="007A49A3" w:rsidP="007A49A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49A3">
              <w:rPr>
                <w:rFonts w:asciiTheme="majorHAnsi" w:hAnsiTheme="majorHAnsi" w:cstheme="majorHAnsi"/>
                <w:sz w:val="20"/>
                <w:szCs w:val="20"/>
              </w:rPr>
              <w:t>identifying tessellations in the environment.</w:t>
            </w:r>
          </w:p>
          <w:p w14:paraId="440D9F51" w14:textId="58B1BFDA" w:rsidR="007A49A3" w:rsidRPr="007A49A3" w:rsidRDefault="007A49A3" w:rsidP="007A49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E358EF" w14:textId="1017D842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815E0A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815E0A">
              <w:rPr>
                <w:rFonts w:asciiTheme="majorHAnsi" w:hAnsiTheme="majorHAnsi"/>
                <w:b/>
                <w:bCs/>
                <w:sz w:val="20"/>
                <w:szCs w:val="20"/>
              </w:rPr>
              <w:t>Tessellations</w:t>
            </w:r>
          </w:p>
          <w:p w14:paraId="5D40E93E" w14:textId="3219AE96" w:rsidR="00950447" w:rsidRPr="007D373D" w:rsidRDefault="00950447" w:rsidP="00950447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Tessellations</w:t>
            </w:r>
          </w:p>
          <w:p w14:paraId="61EA4B92" w14:textId="511846CB" w:rsidR="00815E0A" w:rsidRDefault="00950447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75683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Using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Transformations</w:t>
            </w:r>
            <w:r w:rsidR="00E75683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Describe Tessellations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FE61052" w14:textId="179BC294" w:rsidR="007D373D" w:rsidRPr="007D373D" w:rsidRDefault="007D373D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A99DC0" w14:textId="78445007" w:rsidR="006939B9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760FCEBA" w14:textId="44A19FEC" w:rsidR="00E75683" w:rsidRPr="00404729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2-D shapes and 3-D solids can be transformed in many ways and analyzed for change</w:t>
            </w:r>
            <w:r w:rsidR="007A49A3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81DA3A" w14:textId="77777777" w:rsidR="00404729" w:rsidRPr="00404729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Exploring 2-D shapes and 3-D solids by applying and visualizing transformations</w:t>
            </w:r>
            <w:r w:rsidRPr="00404729">
              <w:rPr>
                <w:rStyle w:val="scxw256142488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77AB240" w14:textId="66AAC180" w:rsidR="00E75683" w:rsidRPr="00404729" w:rsidRDefault="00E75683" w:rsidP="00404729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Uses properties of shapes and transformations to design tessellations.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9BFAFB5" w14:textId="508E5AE6" w:rsidR="002C23CC" w:rsidRPr="00E75683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34EE0607" w:rsidR="007174F8" w:rsidRPr="00837044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37044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83704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60CE9" w:rsidRPr="0083704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83704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837044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837044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2792"/>
        <w:gridCol w:w="3734"/>
      </w:tblGrid>
      <w:tr w:rsidR="0004390F" w:rsidRPr="00147BC0" w14:paraId="7B363504" w14:textId="77777777" w:rsidTr="00162B05">
        <w:trPr>
          <w:trHeight w:val="567"/>
        </w:trPr>
        <w:tc>
          <w:tcPr>
            <w:tcW w:w="1805" w:type="pct"/>
            <w:shd w:val="clear" w:color="auto" w:fill="F2DBDB" w:themeFill="accent2" w:themeFillTint="33"/>
            <w:vAlign w:val="center"/>
          </w:tcPr>
          <w:p w14:paraId="7B363500" w14:textId="52AF3B06" w:rsidR="0004390F" w:rsidRPr="00147BC0" w:rsidRDefault="002A1F7E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F2DBDB" w:themeFill="accent2" w:themeFillTint="33"/>
            <w:vAlign w:val="center"/>
          </w:tcPr>
          <w:p w14:paraId="7B363501" w14:textId="67C9A3C5" w:rsidR="0004390F" w:rsidRPr="00147BC0" w:rsidRDefault="0004390F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F2DBDB" w:themeFill="accent2" w:themeFillTint="33"/>
            <w:vAlign w:val="center"/>
          </w:tcPr>
          <w:p w14:paraId="7B363503" w14:textId="213E3F85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3704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5133A982" w:rsidR="008268BD" w:rsidRDefault="00BA2526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7C26E835" w:rsidR="0004390F" w:rsidRPr="00996386" w:rsidRDefault="00BA2526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04390F" w:rsidRPr="00996386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50A" w14:textId="0D64C29A" w:rsidR="0004390F" w:rsidRPr="00147BC0" w:rsidRDefault="007A49A3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1. Critique ways in which data is presented. 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14F82549" w14:textId="59DCF67C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Presenting Data Graphically </w:t>
            </w:r>
          </w:p>
          <w:p w14:paraId="203134DE" w14:textId="598797F5" w:rsidR="00815E0A" w:rsidRPr="007D373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Analyzing and Critiquing Given Data 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3D56D02F" w14:textId="77777777" w:rsidR="001B0F5F" w:rsidRPr="001B0F5F" w:rsidRDefault="00404729" w:rsidP="00145881">
            <w:pPr>
              <w:spacing w:after="60"/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75683" w:rsidRPr="001B0F5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Creating graphical displays of collected data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4E1B738" w14:textId="35A9BDD2" w:rsidR="00A61835" w:rsidRPr="001B0F5F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Chooses and justifies appropriate visual representations for displaying discrete (e.g., bar graphs) and continuous (e.g., line graph) data.</w:t>
            </w:r>
            <w:r w:rsidRPr="001B0F5F">
              <w:rPr>
                <w:rStyle w:val="scxw21893540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A6E23E" w14:textId="77777777" w:rsidR="001B0F5F" w:rsidRPr="001B0F5F" w:rsidRDefault="00E75683" w:rsidP="00145881">
            <w:pPr>
              <w:spacing w:after="60"/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Reading and interpreting data displays and analyzing variability</w:t>
            </w:r>
            <w:r w:rsidRPr="001B0F5F"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3885F1" w14:textId="26772E2B" w:rsidR="00E75683" w:rsidRPr="00162B05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Critiques the ways in which data are presented in graphs and tables (e.g., misleading graphs, changing scale).</w:t>
            </w:r>
          </w:p>
          <w:p w14:paraId="7B36350D" w14:textId="4D5ED5BC" w:rsidR="00162B05" w:rsidRPr="001B0F5F" w:rsidRDefault="00162B05" w:rsidP="00162B05">
            <w:pPr>
              <w:pStyle w:val="ListParagraph"/>
              <w:spacing w:after="60"/>
              <w:ind w:left="197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2DFC7D20" w:rsidR="00E86A0A" w:rsidRPr="00837044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37044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D0224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A2526" w:rsidRPr="00837044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2A1F7E" w:rsidRPr="002A3AA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A1F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837044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996386" w:rsidRPr="00837044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E86A0A" w:rsidRPr="00837044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837044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837044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2"/>
        <w:gridCol w:w="2829"/>
        <w:gridCol w:w="3701"/>
      </w:tblGrid>
      <w:tr w:rsidR="00E86A0A" w:rsidRPr="00147BC0" w14:paraId="53EFCD76" w14:textId="77777777" w:rsidTr="00162B05">
        <w:trPr>
          <w:trHeight w:val="567"/>
        </w:trPr>
        <w:tc>
          <w:tcPr>
            <w:tcW w:w="1803" w:type="pct"/>
            <w:shd w:val="clear" w:color="auto" w:fill="F2DBDB" w:themeFill="accent2" w:themeFillTint="33"/>
            <w:vAlign w:val="center"/>
          </w:tcPr>
          <w:p w14:paraId="34743B14" w14:textId="7129C1A0" w:rsidR="00E86A0A" w:rsidRPr="00147BC0" w:rsidRDefault="002A1F7E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5" w:type="pct"/>
            <w:shd w:val="clear" w:color="auto" w:fill="F2DBDB" w:themeFill="accent2" w:themeFillTint="33"/>
            <w:vAlign w:val="center"/>
          </w:tcPr>
          <w:p w14:paraId="6A0B40FC" w14:textId="391CA186" w:rsidR="00E86A0A" w:rsidRPr="00147BC0" w:rsidRDefault="00E86A0A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996386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12" w:type="pct"/>
            <w:shd w:val="clear" w:color="auto" w:fill="F2DBDB" w:themeFill="accent2" w:themeFillTint="33"/>
            <w:vAlign w:val="center"/>
          </w:tcPr>
          <w:p w14:paraId="4CC8F1C4" w14:textId="767AB81D" w:rsidR="00E86A0A" w:rsidRPr="00147BC0" w:rsidRDefault="00E86A0A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83704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996386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3E849290" w:rsidR="008268BD" w:rsidRDefault="00BA2526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55B0B927" w:rsidR="00E86A0A" w:rsidRPr="00147BC0" w:rsidRDefault="00BA2526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86A0A" w:rsidRPr="00147BC0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28B5E3" w14:textId="135C8E64" w:rsidR="00D245D6" w:rsidRPr="00996386" w:rsidRDefault="007A49A3" w:rsidP="009963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96386"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2. Solve problems involving the probability of independent events. 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84BF618" w14:textId="3A827463" w:rsidR="00E86A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Events</w:t>
            </w:r>
          </w:p>
          <w:p w14:paraId="14CB6E7F" w14:textId="58F27DC9" w:rsidR="00815E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Comparing Theoretical and Experimental Probability of Two Independent Events</w:t>
            </w:r>
          </w:p>
          <w:p w14:paraId="66CDF350" w14:textId="7ECA929A" w:rsidR="00815E0A" w:rsidRPr="004A63A7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Three Independent Events</w:t>
            </w:r>
          </w:p>
        </w:tc>
        <w:tc>
          <w:tcPr>
            <w:tcW w:w="1812" w:type="pct"/>
            <w:shd w:val="clear" w:color="auto" w:fill="auto"/>
          </w:tcPr>
          <w:p w14:paraId="65088867" w14:textId="71D12F8E" w:rsidR="00E75683" w:rsidRPr="001B0F5F" w:rsidRDefault="001B0F5F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AA8474" w14:textId="77777777" w:rsidR="001B0F5F" w:rsidRPr="001B0F5F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3C602B" w14:textId="3BE57E13" w:rsidR="00E75683" w:rsidRPr="00162B05" w:rsidRDefault="00E75683" w:rsidP="00162B0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Generalizes the multiplication rule of probability for independent events (e.g., probability of tossing two heads is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 </m:t>
              </m:r>
            </m:oMath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).</w:t>
            </w:r>
            <w:r w:rsidRPr="001B0F5F">
              <w:rPr>
                <w:rStyle w:val="scxw20455828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BF5F354" w14:textId="7E04FCD2" w:rsidR="00265C9F" w:rsidRPr="00145881" w:rsidRDefault="00265C9F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BA2526">
      <w:footerReference w:type="default" r:id="rId12"/>
      <w:pgSz w:w="12240" w:h="15840" w:orient="landscape"/>
      <w:pgMar w:top="1440" w:right="758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6BF5" w14:textId="77777777" w:rsidR="003D5926" w:rsidRDefault="003D5926">
      <w:r>
        <w:separator/>
      </w:r>
    </w:p>
  </w:endnote>
  <w:endnote w:type="continuationSeparator" w:id="0">
    <w:p w14:paraId="448BE9A0" w14:textId="77777777" w:rsidR="003D5926" w:rsidRDefault="003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0E32A927" w:rsidR="009819B5" w:rsidRPr="002A3AA4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2A3AA4">
      <w:rPr>
        <w:rFonts w:asciiTheme="majorHAnsi" w:hAnsiTheme="majorHAnsi" w:cstheme="majorHAnsi"/>
        <w:color w:val="000000"/>
      </w:rPr>
      <w:t xml:space="preserve">Mathology </w:t>
    </w:r>
    <w:r w:rsidR="002A1F7E">
      <w:rPr>
        <w:rFonts w:asciiTheme="majorHAnsi" w:hAnsiTheme="majorHAnsi" w:cstheme="majorHAnsi"/>
        <w:color w:val="000000"/>
      </w:rPr>
      <w:t xml:space="preserve">Grade </w:t>
    </w:r>
    <w:r w:rsidR="00E75683" w:rsidRPr="002A3AA4">
      <w:rPr>
        <w:rFonts w:asciiTheme="majorHAnsi" w:hAnsiTheme="majorHAnsi" w:cstheme="majorHAnsi"/>
        <w:color w:val="000000"/>
      </w:rPr>
      <w:t>8</w:t>
    </w:r>
    <w:r w:rsidRPr="002A3AA4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2A3AA4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189188664" name="Picture 1189188664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526" w:rsidRPr="002A3AA4">
      <w:rPr>
        <w:rFonts w:asciiTheme="majorHAnsi" w:hAnsiTheme="majorHAnsi" w:cstheme="majorHAnsi"/>
        <w:color w:val="000000"/>
      </w:rPr>
      <w:t>Prince Edward Island</w:t>
    </w:r>
  </w:p>
  <w:p w14:paraId="7B363522" w14:textId="534F7CEC" w:rsidR="009819B5" w:rsidRPr="00264A06" w:rsidRDefault="00264A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264A06">
      <w:rPr>
        <w:rFonts w:asciiTheme="majorHAnsi" w:hAnsiTheme="majorHAnsi" w:cstheme="majorHAnsi"/>
        <w:color w:val="000000"/>
      </w:rPr>
      <w:t>Version 09/0</w:t>
    </w:r>
    <w:r w:rsidR="000D0224">
      <w:rPr>
        <w:rFonts w:asciiTheme="majorHAnsi" w:hAnsiTheme="majorHAnsi" w:cstheme="majorHAnsi"/>
        <w:color w:val="000000"/>
      </w:rPr>
      <w:t>8</w:t>
    </w:r>
    <w:r w:rsidRPr="00264A06"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0D0224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0D0224">
      <w:rPr>
        <w:rFonts w:asciiTheme="majorHAnsi" w:hAnsiTheme="majorHAnsi" w:cstheme="majorHAnsi"/>
        <w:color w:val="000000"/>
      </w:rPr>
      <w:fldChar w:fldCharType="begin"/>
    </w:r>
    <w:r w:rsidRPr="000D0224">
      <w:rPr>
        <w:rFonts w:asciiTheme="majorHAnsi" w:hAnsiTheme="majorHAnsi" w:cstheme="majorHAnsi"/>
        <w:color w:val="000000"/>
      </w:rPr>
      <w:instrText>PAGE</w:instrText>
    </w:r>
    <w:r w:rsidRPr="000D0224">
      <w:rPr>
        <w:rFonts w:asciiTheme="majorHAnsi" w:hAnsiTheme="majorHAnsi" w:cstheme="majorHAnsi"/>
        <w:color w:val="000000"/>
      </w:rPr>
      <w:fldChar w:fldCharType="separate"/>
    </w:r>
    <w:r w:rsidRPr="000D0224">
      <w:rPr>
        <w:rFonts w:asciiTheme="majorHAnsi" w:hAnsiTheme="majorHAnsi" w:cstheme="majorHAnsi"/>
        <w:noProof/>
        <w:color w:val="000000"/>
      </w:rPr>
      <w:t>4</w:t>
    </w:r>
    <w:r w:rsidRPr="000D0224">
      <w:rPr>
        <w:rFonts w:asciiTheme="majorHAnsi" w:hAnsiTheme="majorHAnsi" w:cstheme="majorHAnsi"/>
        <w:color w:val="000000"/>
      </w:rPr>
      <w:fldChar w:fldCharType="end"/>
    </w:r>
    <w:r w:rsidRPr="000D0224">
      <w:rPr>
        <w:rFonts w:asciiTheme="majorHAnsi" w:hAnsiTheme="majorHAnsi" w:cstheme="majorHAnsi"/>
        <w:b/>
        <w:color w:val="000000"/>
      </w:rPr>
      <w:t xml:space="preserve"> </w:t>
    </w:r>
    <w:r w:rsidRPr="000D0224">
      <w:rPr>
        <w:rFonts w:asciiTheme="majorHAnsi" w:hAnsiTheme="majorHAnsi" w:cstheme="majorHAnsi"/>
        <w:color w:val="000000"/>
      </w:rPr>
      <w:t>|</w:t>
    </w:r>
    <w:r w:rsidRPr="000D0224">
      <w:rPr>
        <w:rFonts w:asciiTheme="majorHAnsi" w:hAnsiTheme="majorHAnsi" w:cstheme="majorHAnsi"/>
        <w:b/>
        <w:color w:val="000000"/>
      </w:rPr>
      <w:t xml:space="preserve"> </w:t>
    </w:r>
    <w:r w:rsidRPr="000D0224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268B" w14:textId="77777777" w:rsidR="003D5926" w:rsidRDefault="003D5926">
      <w:r>
        <w:separator/>
      </w:r>
    </w:p>
  </w:footnote>
  <w:footnote w:type="continuationSeparator" w:id="0">
    <w:p w14:paraId="61554ACC" w14:textId="77777777" w:rsidR="003D5926" w:rsidRDefault="003D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924"/>
    <w:multiLevelType w:val="hybridMultilevel"/>
    <w:tmpl w:val="66E00468"/>
    <w:lvl w:ilvl="0" w:tplc="36001CE8">
      <w:start w:val="20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0236"/>
    <w:multiLevelType w:val="hybridMultilevel"/>
    <w:tmpl w:val="9EA22AF2"/>
    <w:lvl w:ilvl="0" w:tplc="5C78DE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59AF"/>
    <w:multiLevelType w:val="hybridMultilevel"/>
    <w:tmpl w:val="AC82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78918">
    <w:abstractNumId w:val="18"/>
  </w:num>
  <w:num w:numId="2" w16cid:durableId="1579829834">
    <w:abstractNumId w:val="21"/>
  </w:num>
  <w:num w:numId="3" w16cid:durableId="339434944">
    <w:abstractNumId w:val="2"/>
  </w:num>
  <w:num w:numId="4" w16cid:durableId="1866551125">
    <w:abstractNumId w:val="16"/>
  </w:num>
  <w:num w:numId="5" w16cid:durableId="2144541315">
    <w:abstractNumId w:val="32"/>
  </w:num>
  <w:num w:numId="6" w16cid:durableId="1247692301">
    <w:abstractNumId w:val="15"/>
  </w:num>
  <w:num w:numId="7" w16cid:durableId="1024668186">
    <w:abstractNumId w:val="29"/>
  </w:num>
  <w:num w:numId="8" w16cid:durableId="2108115077">
    <w:abstractNumId w:val="36"/>
  </w:num>
  <w:num w:numId="9" w16cid:durableId="692343642">
    <w:abstractNumId w:val="25"/>
  </w:num>
  <w:num w:numId="10" w16cid:durableId="112944874">
    <w:abstractNumId w:val="33"/>
  </w:num>
  <w:num w:numId="11" w16cid:durableId="2088529074">
    <w:abstractNumId w:val="27"/>
  </w:num>
  <w:num w:numId="12" w16cid:durableId="2083326858">
    <w:abstractNumId w:val="31"/>
  </w:num>
  <w:num w:numId="13" w16cid:durableId="768626878">
    <w:abstractNumId w:val="5"/>
  </w:num>
  <w:num w:numId="14" w16cid:durableId="297153910">
    <w:abstractNumId w:val="9"/>
  </w:num>
  <w:num w:numId="15" w16cid:durableId="1578132304">
    <w:abstractNumId w:val="22"/>
  </w:num>
  <w:num w:numId="16" w16cid:durableId="20209454">
    <w:abstractNumId w:val="28"/>
  </w:num>
  <w:num w:numId="17" w16cid:durableId="1560290841">
    <w:abstractNumId w:val="12"/>
  </w:num>
  <w:num w:numId="18" w16cid:durableId="1201406160">
    <w:abstractNumId w:val="19"/>
  </w:num>
  <w:num w:numId="19" w16cid:durableId="692340973">
    <w:abstractNumId w:val="35"/>
  </w:num>
  <w:num w:numId="20" w16cid:durableId="83305380">
    <w:abstractNumId w:val="23"/>
  </w:num>
  <w:num w:numId="21" w16cid:durableId="1408385384">
    <w:abstractNumId w:val="10"/>
  </w:num>
  <w:num w:numId="22" w16cid:durableId="189880474">
    <w:abstractNumId w:val="1"/>
  </w:num>
  <w:num w:numId="23" w16cid:durableId="818034590">
    <w:abstractNumId w:val="30"/>
  </w:num>
  <w:num w:numId="24" w16cid:durableId="209997451">
    <w:abstractNumId w:val="34"/>
  </w:num>
  <w:num w:numId="25" w16cid:durableId="1087120833">
    <w:abstractNumId w:val="11"/>
  </w:num>
  <w:num w:numId="26" w16cid:durableId="1126117751">
    <w:abstractNumId w:val="26"/>
  </w:num>
  <w:num w:numId="27" w16cid:durableId="1825006582">
    <w:abstractNumId w:val="38"/>
  </w:num>
  <w:num w:numId="28" w16cid:durableId="152450680">
    <w:abstractNumId w:val="17"/>
  </w:num>
  <w:num w:numId="29" w16cid:durableId="34163671">
    <w:abstractNumId w:val="4"/>
  </w:num>
  <w:num w:numId="30" w16cid:durableId="467210454">
    <w:abstractNumId w:val="37"/>
  </w:num>
  <w:num w:numId="31" w16cid:durableId="631135816">
    <w:abstractNumId w:val="13"/>
  </w:num>
  <w:num w:numId="32" w16cid:durableId="1888371039">
    <w:abstractNumId w:val="20"/>
  </w:num>
  <w:num w:numId="33" w16cid:durableId="279410375">
    <w:abstractNumId w:val="7"/>
  </w:num>
  <w:num w:numId="34" w16cid:durableId="2062092773">
    <w:abstractNumId w:val="8"/>
  </w:num>
  <w:num w:numId="35" w16cid:durableId="1407453978">
    <w:abstractNumId w:val="3"/>
  </w:num>
  <w:num w:numId="36" w16cid:durableId="1672099332">
    <w:abstractNumId w:val="0"/>
  </w:num>
  <w:num w:numId="37" w16cid:durableId="1727096642">
    <w:abstractNumId w:val="14"/>
  </w:num>
  <w:num w:numId="38" w16cid:durableId="70350516">
    <w:abstractNumId w:val="6"/>
  </w:num>
  <w:num w:numId="39" w16cid:durableId="20230490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0A98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6B5A"/>
    <w:rsid w:val="000C7438"/>
    <w:rsid w:val="000D0224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48F8"/>
    <w:rsid w:val="00106595"/>
    <w:rsid w:val="001134AD"/>
    <w:rsid w:val="001154E5"/>
    <w:rsid w:val="0011590A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3AAC"/>
    <w:rsid w:val="0015642D"/>
    <w:rsid w:val="00162B05"/>
    <w:rsid w:val="00165014"/>
    <w:rsid w:val="00165CDC"/>
    <w:rsid w:val="001676E4"/>
    <w:rsid w:val="00167A19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0F5F"/>
    <w:rsid w:val="001B230C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2C1C"/>
    <w:rsid w:val="0020314B"/>
    <w:rsid w:val="00204587"/>
    <w:rsid w:val="0020711D"/>
    <w:rsid w:val="0020750B"/>
    <w:rsid w:val="00212433"/>
    <w:rsid w:val="00212C59"/>
    <w:rsid w:val="00212DD7"/>
    <w:rsid w:val="00221F79"/>
    <w:rsid w:val="002254D2"/>
    <w:rsid w:val="002261C6"/>
    <w:rsid w:val="00227547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0CE9"/>
    <w:rsid w:val="002649C7"/>
    <w:rsid w:val="00264A06"/>
    <w:rsid w:val="00265C9F"/>
    <w:rsid w:val="00276DCB"/>
    <w:rsid w:val="00280DF7"/>
    <w:rsid w:val="002811A2"/>
    <w:rsid w:val="00290505"/>
    <w:rsid w:val="00290F05"/>
    <w:rsid w:val="0029243C"/>
    <w:rsid w:val="00296832"/>
    <w:rsid w:val="00297B4C"/>
    <w:rsid w:val="002A0601"/>
    <w:rsid w:val="002A1F7E"/>
    <w:rsid w:val="002A379F"/>
    <w:rsid w:val="002A3AA4"/>
    <w:rsid w:val="002A59F4"/>
    <w:rsid w:val="002A6396"/>
    <w:rsid w:val="002B0094"/>
    <w:rsid w:val="002B037C"/>
    <w:rsid w:val="002B1787"/>
    <w:rsid w:val="002B53FD"/>
    <w:rsid w:val="002B59B1"/>
    <w:rsid w:val="002C018D"/>
    <w:rsid w:val="002C0530"/>
    <w:rsid w:val="002C1D63"/>
    <w:rsid w:val="002C23CC"/>
    <w:rsid w:val="002C2D4F"/>
    <w:rsid w:val="002C2EE4"/>
    <w:rsid w:val="002C3BFC"/>
    <w:rsid w:val="002C5E12"/>
    <w:rsid w:val="002D0596"/>
    <w:rsid w:val="002D15D9"/>
    <w:rsid w:val="002D75E3"/>
    <w:rsid w:val="002E0391"/>
    <w:rsid w:val="002E5322"/>
    <w:rsid w:val="002E5DD7"/>
    <w:rsid w:val="002E7767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5926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04729"/>
    <w:rsid w:val="004113B8"/>
    <w:rsid w:val="00413B34"/>
    <w:rsid w:val="0041422F"/>
    <w:rsid w:val="004147C6"/>
    <w:rsid w:val="00426F24"/>
    <w:rsid w:val="00434B59"/>
    <w:rsid w:val="00437EF3"/>
    <w:rsid w:val="004403E8"/>
    <w:rsid w:val="004407B7"/>
    <w:rsid w:val="00442784"/>
    <w:rsid w:val="004430ED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12BB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4F53A0"/>
    <w:rsid w:val="004F692C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00A"/>
    <w:rsid w:val="0056742A"/>
    <w:rsid w:val="00572C81"/>
    <w:rsid w:val="00574570"/>
    <w:rsid w:val="005757E1"/>
    <w:rsid w:val="0058044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71FC"/>
    <w:rsid w:val="006F2609"/>
    <w:rsid w:val="006F447F"/>
    <w:rsid w:val="006F58AB"/>
    <w:rsid w:val="006F6222"/>
    <w:rsid w:val="00701B7E"/>
    <w:rsid w:val="007174F8"/>
    <w:rsid w:val="00720DA6"/>
    <w:rsid w:val="007217E7"/>
    <w:rsid w:val="00724938"/>
    <w:rsid w:val="00725D4D"/>
    <w:rsid w:val="007272A0"/>
    <w:rsid w:val="00730E5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49A3"/>
    <w:rsid w:val="007A7BAA"/>
    <w:rsid w:val="007B466E"/>
    <w:rsid w:val="007B5075"/>
    <w:rsid w:val="007B580B"/>
    <w:rsid w:val="007C292C"/>
    <w:rsid w:val="007C6348"/>
    <w:rsid w:val="007C6CAC"/>
    <w:rsid w:val="007D2C56"/>
    <w:rsid w:val="007D373D"/>
    <w:rsid w:val="007D58A3"/>
    <w:rsid w:val="007D651B"/>
    <w:rsid w:val="007F57FE"/>
    <w:rsid w:val="007F79B2"/>
    <w:rsid w:val="0081071F"/>
    <w:rsid w:val="008119EC"/>
    <w:rsid w:val="00811A31"/>
    <w:rsid w:val="00815E0A"/>
    <w:rsid w:val="008165BD"/>
    <w:rsid w:val="0082296B"/>
    <w:rsid w:val="00822B36"/>
    <w:rsid w:val="008241C0"/>
    <w:rsid w:val="008268BD"/>
    <w:rsid w:val="00831549"/>
    <w:rsid w:val="00833897"/>
    <w:rsid w:val="008367F6"/>
    <w:rsid w:val="00837044"/>
    <w:rsid w:val="008411D7"/>
    <w:rsid w:val="00841A67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169D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9BF"/>
    <w:rsid w:val="00920CDC"/>
    <w:rsid w:val="00923294"/>
    <w:rsid w:val="00923B49"/>
    <w:rsid w:val="009251E9"/>
    <w:rsid w:val="00925FC7"/>
    <w:rsid w:val="009269B8"/>
    <w:rsid w:val="009270A9"/>
    <w:rsid w:val="00931151"/>
    <w:rsid w:val="009402F4"/>
    <w:rsid w:val="009431EF"/>
    <w:rsid w:val="00950447"/>
    <w:rsid w:val="009517F6"/>
    <w:rsid w:val="00954366"/>
    <w:rsid w:val="00956241"/>
    <w:rsid w:val="009567F6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6386"/>
    <w:rsid w:val="00997289"/>
    <w:rsid w:val="009A0F49"/>
    <w:rsid w:val="009B2137"/>
    <w:rsid w:val="009B21EB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668EE"/>
    <w:rsid w:val="00A730A1"/>
    <w:rsid w:val="00A77698"/>
    <w:rsid w:val="00A77BB1"/>
    <w:rsid w:val="00A97A5C"/>
    <w:rsid w:val="00AA1CFC"/>
    <w:rsid w:val="00AA7552"/>
    <w:rsid w:val="00AB228B"/>
    <w:rsid w:val="00AB339E"/>
    <w:rsid w:val="00AB7F8F"/>
    <w:rsid w:val="00AC054A"/>
    <w:rsid w:val="00AC25D6"/>
    <w:rsid w:val="00AC4B4C"/>
    <w:rsid w:val="00AC5FBE"/>
    <w:rsid w:val="00AC6E45"/>
    <w:rsid w:val="00AD1941"/>
    <w:rsid w:val="00AD1B86"/>
    <w:rsid w:val="00AD3127"/>
    <w:rsid w:val="00AD4D1F"/>
    <w:rsid w:val="00AD613B"/>
    <w:rsid w:val="00AE0F95"/>
    <w:rsid w:val="00AE155D"/>
    <w:rsid w:val="00AE32CB"/>
    <w:rsid w:val="00AF0B13"/>
    <w:rsid w:val="00AF1051"/>
    <w:rsid w:val="00B016B2"/>
    <w:rsid w:val="00B0433D"/>
    <w:rsid w:val="00B0554F"/>
    <w:rsid w:val="00B05DE8"/>
    <w:rsid w:val="00B06BB4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A2526"/>
    <w:rsid w:val="00BB2E40"/>
    <w:rsid w:val="00BB5881"/>
    <w:rsid w:val="00BC44B5"/>
    <w:rsid w:val="00BD0D6D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782"/>
    <w:rsid w:val="00C259B0"/>
    <w:rsid w:val="00C274C8"/>
    <w:rsid w:val="00C35051"/>
    <w:rsid w:val="00C35397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3C48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722D9"/>
    <w:rsid w:val="00E73F7A"/>
    <w:rsid w:val="00E745BC"/>
    <w:rsid w:val="00E75683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233D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C25782"/>
    <w:rPr>
      <w:i/>
      <w:iCs/>
    </w:rPr>
  </w:style>
  <w:style w:type="paragraph" w:customStyle="1" w:styleId="paragraph">
    <w:name w:val="paragraph"/>
    <w:basedOn w:val="Normal"/>
    <w:rsid w:val="009517F6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9517F6"/>
  </w:style>
  <w:style w:type="character" w:customStyle="1" w:styleId="scxw155443872">
    <w:name w:val="scxw155443872"/>
    <w:basedOn w:val="DefaultParagraphFont"/>
    <w:rsid w:val="009517F6"/>
  </w:style>
  <w:style w:type="character" w:customStyle="1" w:styleId="scxw225715401">
    <w:name w:val="scxw225715401"/>
    <w:basedOn w:val="DefaultParagraphFont"/>
    <w:rsid w:val="009517F6"/>
  </w:style>
  <w:style w:type="character" w:customStyle="1" w:styleId="scxw102030057">
    <w:name w:val="scxw102030057"/>
    <w:basedOn w:val="DefaultParagraphFont"/>
    <w:rsid w:val="0020314B"/>
  </w:style>
  <w:style w:type="character" w:customStyle="1" w:styleId="scxw37793498">
    <w:name w:val="scxw37793498"/>
    <w:basedOn w:val="DefaultParagraphFont"/>
    <w:rsid w:val="0020314B"/>
  </w:style>
  <w:style w:type="character" w:customStyle="1" w:styleId="mathspan">
    <w:name w:val="mathspan"/>
    <w:basedOn w:val="DefaultParagraphFont"/>
    <w:rsid w:val="0020314B"/>
  </w:style>
  <w:style w:type="character" w:customStyle="1" w:styleId="mi">
    <w:name w:val="mi"/>
    <w:basedOn w:val="DefaultParagraphFont"/>
    <w:rsid w:val="0020314B"/>
  </w:style>
  <w:style w:type="character" w:customStyle="1" w:styleId="mjxassistivemathml">
    <w:name w:val="mjx_assistive_mathml"/>
    <w:basedOn w:val="DefaultParagraphFont"/>
    <w:rsid w:val="0020314B"/>
  </w:style>
  <w:style w:type="character" w:customStyle="1" w:styleId="scxw220507233">
    <w:name w:val="scxw220507233"/>
    <w:basedOn w:val="DefaultParagraphFont"/>
    <w:rsid w:val="0020314B"/>
  </w:style>
  <w:style w:type="character" w:customStyle="1" w:styleId="scxw126933643">
    <w:name w:val="scxw126933643"/>
    <w:basedOn w:val="DefaultParagraphFont"/>
    <w:rsid w:val="0020314B"/>
  </w:style>
  <w:style w:type="character" w:customStyle="1" w:styleId="scxw109548861">
    <w:name w:val="scxw109548861"/>
    <w:basedOn w:val="DefaultParagraphFont"/>
    <w:rsid w:val="0020314B"/>
  </w:style>
  <w:style w:type="character" w:customStyle="1" w:styleId="scxw39416034">
    <w:name w:val="scxw39416034"/>
    <w:basedOn w:val="DefaultParagraphFont"/>
    <w:rsid w:val="00AB7F8F"/>
  </w:style>
  <w:style w:type="character" w:customStyle="1" w:styleId="scxw66365337">
    <w:name w:val="scxw66365337"/>
    <w:basedOn w:val="DefaultParagraphFont"/>
    <w:rsid w:val="00AB7F8F"/>
  </w:style>
  <w:style w:type="character" w:customStyle="1" w:styleId="scxw10916704">
    <w:name w:val="scxw10916704"/>
    <w:basedOn w:val="DefaultParagraphFont"/>
    <w:rsid w:val="00AB7F8F"/>
  </w:style>
  <w:style w:type="character" w:customStyle="1" w:styleId="mn">
    <w:name w:val="mn"/>
    <w:basedOn w:val="DefaultParagraphFont"/>
    <w:rsid w:val="00AB7F8F"/>
  </w:style>
  <w:style w:type="character" w:customStyle="1" w:styleId="scxw105444582">
    <w:name w:val="scxw105444582"/>
    <w:basedOn w:val="DefaultParagraphFont"/>
    <w:rsid w:val="00950447"/>
  </w:style>
  <w:style w:type="character" w:customStyle="1" w:styleId="scxw138537339">
    <w:name w:val="scxw138537339"/>
    <w:basedOn w:val="DefaultParagraphFont"/>
    <w:rsid w:val="00950447"/>
  </w:style>
  <w:style w:type="character" w:customStyle="1" w:styleId="scxw256142488">
    <w:name w:val="scxw256142488"/>
    <w:basedOn w:val="DefaultParagraphFont"/>
    <w:rsid w:val="00E75683"/>
  </w:style>
  <w:style w:type="character" w:customStyle="1" w:styleId="scxw218935403">
    <w:name w:val="scxw218935403"/>
    <w:basedOn w:val="DefaultParagraphFont"/>
    <w:rsid w:val="00E75683"/>
  </w:style>
  <w:style w:type="character" w:customStyle="1" w:styleId="scxw180639023">
    <w:name w:val="scxw180639023"/>
    <w:basedOn w:val="DefaultParagraphFont"/>
    <w:rsid w:val="00E75683"/>
  </w:style>
  <w:style w:type="character" w:customStyle="1" w:styleId="scxw204558282">
    <w:name w:val="scxw204558282"/>
    <w:basedOn w:val="DefaultParagraphFont"/>
    <w:rsid w:val="00E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FC46211-DB75-4520-B575-6CC41A42234C}"/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12</cp:revision>
  <dcterms:created xsi:type="dcterms:W3CDTF">2023-08-30T20:33:00Z</dcterms:created>
  <dcterms:modified xsi:type="dcterms:W3CDTF">2023-09-08T16:05:00Z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