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862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880"/>
      </w:tblGrid>
      <w:tr w:rsidR="002F142C" w14:paraId="2E39B3F8" w14:textId="716AFF69" w:rsidTr="006258EB">
        <w:trPr>
          <w:trHeight w:hRule="exact" w:val="462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0AE102F" w:rsidR="002F142C" w:rsidRPr="006B210D" w:rsidRDefault="00BD122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BD1226">
              <w:rPr>
                <w:rFonts w:ascii="Arial" w:eastAsia="Verdana" w:hAnsi="Arial" w:cs="Arial"/>
                <w:b/>
                <w:sz w:val="24"/>
                <w:szCs w:val="24"/>
              </w:rPr>
              <w:t>Decomposing Numbers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258EB">
        <w:trPr>
          <w:trHeight w:hRule="exact" w:val="309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CD12F" w14:textId="79A2216D" w:rsidR="002F142C" w:rsidRPr="00BD1226" w:rsidRDefault="00BD1226" w:rsidP="00662FCB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decomposes number into units of tens and leftover </w:t>
            </w:r>
            <w:proofErr w:type="gramStart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ones, but</w:t>
            </w:r>
            <w:proofErr w:type="gramEnd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more than 10 cubes in the Ones column or confuses the number of tens with the number of cubes.</w:t>
            </w:r>
          </w:p>
          <w:p w14:paraId="57DB202C" w14:textId="5BE93AF9" w:rsidR="00BD1226" w:rsidRPr="0028676E" w:rsidRDefault="00C96FC4" w:rsidP="0052352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7329A27B" wp14:editId="21281F8D">
                  <wp:extent cx="1749552" cy="89916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3_a16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2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F2B6A" w14:textId="13F8C43F" w:rsidR="00481400" w:rsidRPr="00BD1226" w:rsidRDefault="00BD1226" w:rsidP="00BD1226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decomposes number into units of tens and leftover </w:t>
            </w:r>
            <w:proofErr w:type="gramStart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ones, and</w:t>
            </w:r>
            <w:proofErr w:type="gramEnd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 cubes to determine how many more ones are needed to make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another ten.</w:t>
            </w:r>
          </w:p>
          <w:p w14:paraId="7F95AA5C" w14:textId="498D5644" w:rsidR="00BD1226" w:rsidRPr="00BD1226" w:rsidRDefault="00C96FC4" w:rsidP="00523529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790957D" wp14:editId="4C54275A">
                  <wp:extent cx="1749552" cy="954024"/>
                  <wp:effectExtent l="0" t="0" r="3175" b="114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3_a16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2" cy="95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E1B9B36" w:rsidR="00481400" w:rsidRPr="00BD1226" w:rsidRDefault="00BD1226" w:rsidP="00BD1226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decomposes number into units of tens and leftover </w:t>
            </w:r>
            <w:proofErr w:type="gramStart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ones, but</w:t>
            </w:r>
            <w:proofErr w:type="gramEnd"/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determine 10 more/less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without counting.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2BFCD8" w14:textId="6286DD3C" w:rsidR="00481400" w:rsidRDefault="00BD1226" w:rsidP="00BD1226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decomposes number into units of </w:t>
            </w:r>
            <w:r w:rsidR="00216CA4">
              <w:rPr>
                <w:rFonts w:ascii="Arial" w:hAnsi="Arial" w:cs="Arial"/>
                <w:color w:val="626365"/>
                <w:sz w:val="19"/>
                <w:szCs w:val="19"/>
              </w:rPr>
              <w:t xml:space="preserve">hundreds,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tens</w:t>
            </w:r>
            <w:r w:rsidR="00216CA4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leftover ones, determines how many more </w:t>
            </w:r>
            <w:r w:rsidR="00216CA4">
              <w:rPr>
                <w:rFonts w:ascii="Arial" w:hAnsi="Arial" w:cs="Arial"/>
                <w:color w:val="626365"/>
                <w:sz w:val="19"/>
                <w:szCs w:val="19"/>
              </w:rPr>
              <w:t>tens</w:t>
            </w:r>
            <w:r w:rsidR="00216CA4"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 xml:space="preserve">are needed to make another </w:t>
            </w:r>
            <w:r w:rsidR="00216CA4">
              <w:rPr>
                <w:rFonts w:ascii="Arial" w:hAnsi="Arial" w:cs="Arial"/>
                <w:color w:val="626365"/>
                <w:sz w:val="19"/>
                <w:szCs w:val="19"/>
              </w:rPr>
              <w:t>hundred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,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finds 10 more/less without counting.</w:t>
            </w:r>
          </w:p>
          <w:p w14:paraId="70742EDF" w14:textId="77777777" w:rsidR="00BD1226" w:rsidRDefault="006F4D8E" w:rsidP="00523529">
            <w:pPr>
              <w:pStyle w:val="Pa6"/>
              <w:spacing w:before="60"/>
              <w:jc w:val="center"/>
            </w:pPr>
            <w:r>
              <w:rPr>
                <w:noProof/>
              </w:rPr>
              <w:drawing>
                <wp:inline distT="0" distB="0" distL="0" distR="0" wp14:anchorId="723D3180" wp14:editId="22535ED8">
                  <wp:extent cx="1960260" cy="753745"/>
                  <wp:effectExtent l="0" t="0" r="1905" b="8255"/>
                  <wp:docPr id="1" name="Picture 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ab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339" cy="7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ED864" w14:textId="77777777" w:rsidR="006F4D8E" w:rsidRDefault="001975F2" w:rsidP="00AB5ED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97025A">
              <w:rPr>
                <w:rFonts w:ascii="Arial" w:hAnsi="Arial" w:cs="Arial"/>
                <w:color w:val="626365"/>
                <w:sz w:val="19"/>
                <w:szCs w:val="19"/>
              </w:rPr>
              <w:t>10 more is 157. 10 less is 137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11EFC49" w14:textId="03C31C7B" w:rsidR="0097025A" w:rsidRPr="006F4D8E" w:rsidRDefault="0097025A" w:rsidP="00AB5ED4">
            <w:pPr>
              <w:pStyle w:val="Default"/>
              <w:jc w:val="center"/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BD7F4D">
              <w:rPr>
                <w:rFonts w:ascii="Arial" w:hAnsi="Arial" w:cs="Arial"/>
                <w:color w:val="626365"/>
                <w:sz w:val="19"/>
                <w:szCs w:val="19"/>
              </w:rPr>
              <w:t>6 more tens are needed to make another hundred</w:t>
            </w:r>
            <w:r w:rsidR="00AB5ED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AB5ED4" w:rsidRPr="006B210D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2F142C" w14:paraId="01BA3F47" w14:textId="6CC135FD" w:rsidTr="006258EB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258EB" w14:paraId="2655FD40" w14:textId="77777777" w:rsidTr="006258EB">
        <w:trPr>
          <w:trHeight w:val="1153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7AB462C" w14:textId="77777777" w:rsidR="00523529" w:rsidRDefault="00523529" w:rsidP="0052352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0AFDDCC" w14:textId="77777777" w:rsidR="00523529" w:rsidRDefault="00523529" w:rsidP="0052352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5DCD6D1" w14:textId="77777777" w:rsidR="00523529" w:rsidRDefault="00523529" w:rsidP="00523529">
            <w:pPr>
              <w:rPr>
                <w:noProof/>
                <w:lang w:eastAsia="en-CA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429E57F" w14:textId="45811094" w:rsidR="00523529" w:rsidRDefault="00523529" w:rsidP="00523529">
            <w:pPr>
              <w:jc w:val="center"/>
              <w:rPr>
                <w:noProof/>
                <w:lang w:eastAsia="en-CA"/>
              </w:rPr>
            </w:pPr>
          </w:p>
        </w:tc>
      </w:tr>
      <w:tr w:rsidR="006258EB" w:rsidRPr="00345039" w14:paraId="6D0F53A8" w14:textId="77777777" w:rsidTr="006258EB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BE137FF" w14:textId="77777777" w:rsidR="00523529" w:rsidRDefault="00523529" w:rsidP="0052352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A2E10E0" w14:textId="77777777" w:rsidR="00523529" w:rsidRPr="00345039" w:rsidRDefault="00523529" w:rsidP="0052352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44A0FAE" w14:textId="77777777" w:rsidR="00523529" w:rsidRPr="00345039" w:rsidRDefault="00523529" w:rsidP="0052352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84869CA" w14:textId="77777777" w:rsidR="00523529" w:rsidRPr="00345039" w:rsidRDefault="00523529" w:rsidP="0052352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C96FC4" w:rsidRPr="00CD2187" w14:paraId="1228DFEB" w14:textId="77777777" w:rsidTr="006258EB">
        <w:trPr>
          <w:trHeight w:hRule="exact" w:val="463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E94164F" w14:textId="77777777" w:rsidR="00C96FC4" w:rsidRPr="00CD2187" w:rsidRDefault="00C96FC4" w:rsidP="00C201C7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eastAsia="Verdana" w:hAnsi="Arial" w:cs="Arial"/>
                <w:b/>
                <w:sz w:val="24"/>
                <w:szCs w:val="24"/>
              </w:rPr>
              <w:t>Partitioning into Equal-Sized Units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C96FC4" w:rsidRPr="00BD1226" w14:paraId="1099829D" w14:textId="77777777" w:rsidTr="006258EB">
        <w:trPr>
          <w:trHeight w:hRule="exact" w:val="176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2300BB" w14:textId="110BBB54" w:rsidR="00C96FC4" w:rsidRPr="00BD1226" w:rsidRDefault="00C96FC4" w:rsidP="00C201C7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Student counts objects by 1s, but</w:t>
            </w:r>
          </w:p>
          <w:p w14:paraId="6ADFCEE9" w14:textId="4FA4B449" w:rsidR="00C96FC4" w:rsidRPr="00BD1226" w:rsidRDefault="00C96FC4" w:rsidP="00C201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struggles to partition objects into</w:t>
            </w:r>
          </w:p>
          <w:p w14:paraId="6EA75C02" w14:textId="662D3E4A" w:rsidR="00C96FC4" w:rsidRDefault="00C96FC4" w:rsidP="006258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equal-sized units (not all units are</w:t>
            </w:r>
            <w:r w:rsidR="006258E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equal).</w:t>
            </w:r>
          </w:p>
          <w:p w14:paraId="2581ACB8" w14:textId="74EBEC4E" w:rsidR="00C96FC4" w:rsidRPr="00C96FC4" w:rsidRDefault="00523529" w:rsidP="0052352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D55F81" wp14:editId="2BC3282C">
                  <wp:extent cx="1101838" cy="49950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3_a16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06" cy="50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CBC936" w14:textId="77777777" w:rsidR="00C96FC4" w:rsidRPr="00BD1226" w:rsidRDefault="00C96FC4" w:rsidP="00C201C7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 equal-sized units, but</w:t>
            </w:r>
          </w:p>
          <w:p w14:paraId="76F3098F" w14:textId="70BB805F" w:rsidR="00C96FC4" w:rsidRPr="00BD1226" w:rsidRDefault="00C96FC4" w:rsidP="00C201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continues to skip-count to count</w:t>
            </w:r>
          </w:p>
          <w:p w14:paraId="64C2B758" w14:textId="5BCF8ED9" w:rsidR="00C96FC4" w:rsidRDefault="00C96FC4" w:rsidP="00C201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the leftovers.</w:t>
            </w:r>
          </w:p>
          <w:p w14:paraId="1D00A9AD" w14:textId="44A804C8" w:rsidR="00C96FC4" w:rsidRPr="00C96FC4" w:rsidRDefault="00523529" w:rsidP="0052352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CCC4059" wp14:editId="42CD926A">
                  <wp:extent cx="1974850" cy="502920"/>
                  <wp:effectExtent l="0" t="0" r="635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2_n03_a16_t05_bl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A0B3E" w14:textId="77777777" w:rsidR="00C96FC4" w:rsidRPr="00BD1226" w:rsidRDefault="00C96FC4" w:rsidP="00C201C7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by equal-sized units, but</w:t>
            </w:r>
          </w:p>
          <w:p w14:paraId="0E0E289C" w14:textId="77777777" w:rsidR="00C96FC4" w:rsidRPr="00BD1226" w:rsidRDefault="00C96FC4" w:rsidP="00C201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does not recognize relationships</w:t>
            </w:r>
          </w:p>
          <w:p w14:paraId="5038AF67" w14:textId="77777777" w:rsidR="00C96FC4" w:rsidRPr="0028676E" w:rsidRDefault="00C96FC4" w:rsidP="00C201C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among the different unit sizes.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ADEE3E" w14:textId="77777777" w:rsidR="00C96FC4" w:rsidRPr="00BD1226" w:rsidRDefault="00C96FC4" w:rsidP="00C201C7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into and skip-counts by equal-sized units and recognizes relationships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D1226">
              <w:rPr>
                <w:rFonts w:ascii="Arial" w:hAnsi="Arial" w:cs="Arial"/>
                <w:color w:val="626365"/>
                <w:sz w:val="19"/>
                <w:szCs w:val="19"/>
              </w:rPr>
              <w:t>among the different unit sizes.</w:t>
            </w:r>
          </w:p>
        </w:tc>
      </w:tr>
      <w:tr w:rsidR="00C96FC4" w:rsidRPr="00D7596A" w14:paraId="3497498E" w14:textId="77777777" w:rsidTr="006258EB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347C73" w14:textId="77777777" w:rsidR="00C96FC4" w:rsidRPr="00D7596A" w:rsidRDefault="00C96FC4" w:rsidP="00C201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C96FC4" w:rsidRPr="007A6B78" w14:paraId="3E464948" w14:textId="77777777" w:rsidTr="006258EB">
        <w:trPr>
          <w:trHeight w:val="1339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D9724" w14:textId="77777777" w:rsidR="00C96FC4" w:rsidRPr="007A6B78" w:rsidRDefault="00C96FC4" w:rsidP="00C201C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C0FA6" w14:textId="77777777" w:rsidR="00C96FC4" w:rsidRDefault="00C96FC4" w:rsidP="00C201C7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14FC2" w14:textId="77777777" w:rsidR="00C96FC4" w:rsidRPr="007A6B78" w:rsidRDefault="00C96FC4" w:rsidP="00C201C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DBA70" w14:textId="77777777" w:rsidR="00C96FC4" w:rsidRPr="007A6B78" w:rsidRDefault="00C96FC4" w:rsidP="00C201C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1C38DE5" w14:textId="0DDD4166" w:rsidR="00C22EA1" w:rsidRDefault="00C22EA1" w:rsidP="00A2349F"/>
    <w:sectPr w:rsidR="00C22EA1" w:rsidSect="000B47B0">
      <w:headerReference w:type="default" r:id="rId16"/>
      <w:footerReference w:type="default" r:id="rId17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8CB1" w14:textId="77777777" w:rsidR="002733E1" w:rsidRDefault="002733E1" w:rsidP="00CA2529">
      <w:pPr>
        <w:spacing w:after="0" w:line="240" w:lineRule="auto"/>
      </w:pPr>
      <w:r>
        <w:separator/>
      </w:r>
    </w:p>
  </w:endnote>
  <w:endnote w:type="continuationSeparator" w:id="0">
    <w:p w14:paraId="6F6D4A4E" w14:textId="77777777" w:rsidR="002733E1" w:rsidRDefault="002733E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D21C" w14:textId="7A30BD81" w:rsidR="00AC46AB" w:rsidRPr="00AC46AB" w:rsidRDefault="00AC46AB" w:rsidP="00AC46A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ABC5088" wp14:editId="756A287A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B6FD" w14:textId="77777777" w:rsidR="002733E1" w:rsidRDefault="002733E1" w:rsidP="00CA2529">
      <w:pPr>
        <w:spacing w:after="0" w:line="240" w:lineRule="auto"/>
      </w:pPr>
      <w:r>
        <w:separator/>
      </w:r>
    </w:p>
  </w:footnote>
  <w:footnote w:type="continuationSeparator" w:id="0">
    <w:p w14:paraId="4644ACAA" w14:textId="77777777" w:rsidR="002733E1" w:rsidRDefault="002733E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DA4B" w14:textId="65371AD4" w:rsidR="000D5279" w:rsidRPr="00E71CBF" w:rsidRDefault="00FC03D3" w:rsidP="000D527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19D71B" wp14:editId="2D5E017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348FE" w14:textId="77777777" w:rsidR="000D5279" w:rsidRPr="00CB2021" w:rsidRDefault="00FC03D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9D71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.05pt;margin-top:8.7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5Rdw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ENDV5QtUF/PfUbEpy8rtGEGxHivfBYCbQUax7v8NGG2pLTIHG2JP/zb/qE&#10;x6TCylmLFSt5+LESXnFmvljM8Nl4ghFgMR8mRyeHOPh9y2LfYlfNJaEdGFNkl8WEj2Yrak/NE16D&#10;eboVJmEl7i553IqXsV98vCZSzecZhC10It7YBydT6ERvGrHH7kl4N8xhxATf0nYZxfTVOPbY5Glp&#10;voqk6zyrieCe1YF4bHAe4eG1SU/E/jmjXt7E2S8A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Cck45RdwIAAFs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079348FE" w14:textId="77777777" w:rsidR="000D5279" w:rsidRPr="00CB2021" w:rsidRDefault="00FC03D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B508F" wp14:editId="51FE2A0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358980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9E6113" wp14:editId="3CFEE14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DC45A7B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C22EA1">
      <w:rPr>
        <w:rFonts w:ascii="Arial" w:hAnsi="Arial" w:cs="Arial"/>
        <w:b/>
        <w:sz w:val="36"/>
        <w:szCs w:val="36"/>
      </w:rPr>
      <w:t>4</w:t>
    </w:r>
    <w:r w:rsidR="00646A6E">
      <w:rPr>
        <w:rFonts w:ascii="Arial" w:hAnsi="Arial" w:cs="Arial"/>
        <w:b/>
        <w:sz w:val="36"/>
        <w:szCs w:val="36"/>
      </w:rPr>
      <w:t>5</w:t>
    </w:r>
    <w:r w:rsidRPr="00E71CBF">
      <w:rPr>
        <w:rFonts w:ascii="Arial" w:hAnsi="Arial" w:cs="Arial"/>
        <w:b/>
        <w:sz w:val="36"/>
        <w:szCs w:val="36"/>
      </w:rPr>
      <w:t xml:space="preserve">: </w:t>
    </w:r>
    <w:bookmarkStart w:id="0" w:name="_Hlk516557258"/>
    <w:r w:rsidR="00A2349F">
      <w:rPr>
        <w:rFonts w:ascii="Arial" w:hAnsi="Arial" w:cs="Arial"/>
        <w:b/>
        <w:sz w:val="36"/>
        <w:szCs w:val="36"/>
      </w:rPr>
      <w:t>Activity 16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69BA348D" w14:textId="2E14F133" w:rsidR="000D5279" w:rsidRPr="00E71CBF" w:rsidRDefault="00FC03D3" w:rsidP="000D527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bookmarkEnd w:id="0"/>
    <w:r w:rsidR="000B47B0">
      <w:rPr>
        <w:rFonts w:ascii="Arial" w:hAnsi="Arial" w:cs="Arial"/>
        <w:b/>
        <w:sz w:val="28"/>
        <w:szCs w:val="28"/>
      </w:rPr>
      <w:t>Grouping and Place Value: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6C99"/>
    <w:rsid w:val="00032FD1"/>
    <w:rsid w:val="00050E5C"/>
    <w:rsid w:val="00053328"/>
    <w:rsid w:val="0008174D"/>
    <w:rsid w:val="00083EA6"/>
    <w:rsid w:val="00097C8F"/>
    <w:rsid w:val="000B47B0"/>
    <w:rsid w:val="000C2970"/>
    <w:rsid w:val="000C7349"/>
    <w:rsid w:val="000F43C1"/>
    <w:rsid w:val="00112FF1"/>
    <w:rsid w:val="00192706"/>
    <w:rsid w:val="001975F2"/>
    <w:rsid w:val="001A7920"/>
    <w:rsid w:val="00207CC0"/>
    <w:rsid w:val="00216CA4"/>
    <w:rsid w:val="00226233"/>
    <w:rsid w:val="002303AE"/>
    <w:rsid w:val="00254851"/>
    <w:rsid w:val="00270D20"/>
    <w:rsid w:val="002733E1"/>
    <w:rsid w:val="002736C5"/>
    <w:rsid w:val="0028676E"/>
    <w:rsid w:val="002B19A5"/>
    <w:rsid w:val="002C432C"/>
    <w:rsid w:val="002C4CB2"/>
    <w:rsid w:val="002C7931"/>
    <w:rsid w:val="002F142C"/>
    <w:rsid w:val="003014A9"/>
    <w:rsid w:val="003060B2"/>
    <w:rsid w:val="00345039"/>
    <w:rsid w:val="003F79B3"/>
    <w:rsid w:val="00481400"/>
    <w:rsid w:val="00483555"/>
    <w:rsid w:val="004959B6"/>
    <w:rsid w:val="004D06FA"/>
    <w:rsid w:val="004D50B4"/>
    <w:rsid w:val="004E716A"/>
    <w:rsid w:val="00523529"/>
    <w:rsid w:val="0052505C"/>
    <w:rsid w:val="0052693C"/>
    <w:rsid w:val="0053379E"/>
    <w:rsid w:val="005377E7"/>
    <w:rsid w:val="00543A9A"/>
    <w:rsid w:val="00581577"/>
    <w:rsid w:val="005B3A77"/>
    <w:rsid w:val="005B7D0F"/>
    <w:rsid w:val="005E1704"/>
    <w:rsid w:val="006258EB"/>
    <w:rsid w:val="00646A6E"/>
    <w:rsid w:val="00661689"/>
    <w:rsid w:val="00681F1D"/>
    <w:rsid w:val="00696ABC"/>
    <w:rsid w:val="006B210D"/>
    <w:rsid w:val="006F4D8E"/>
    <w:rsid w:val="00741178"/>
    <w:rsid w:val="00761683"/>
    <w:rsid w:val="0076731B"/>
    <w:rsid w:val="007751EB"/>
    <w:rsid w:val="00793E07"/>
    <w:rsid w:val="007A6B78"/>
    <w:rsid w:val="007E012D"/>
    <w:rsid w:val="00832B16"/>
    <w:rsid w:val="008C4B7B"/>
    <w:rsid w:val="0092323E"/>
    <w:rsid w:val="0097025A"/>
    <w:rsid w:val="009848B3"/>
    <w:rsid w:val="00994C77"/>
    <w:rsid w:val="009B6FF8"/>
    <w:rsid w:val="00A20BE1"/>
    <w:rsid w:val="00A2349F"/>
    <w:rsid w:val="00A43E96"/>
    <w:rsid w:val="00A84F39"/>
    <w:rsid w:val="00AB5ED4"/>
    <w:rsid w:val="00AC46AB"/>
    <w:rsid w:val="00AE494A"/>
    <w:rsid w:val="00B9593A"/>
    <w:rsid w:val="00BA072D"/>
    <w:rsid w:val="00BA10A4"/>
    <w:rsid w:val="00BD1226"/>
    <w:rsid w:val="00BD5ACB"/>
    <w:rsid w:val="00BD7F4D"/>
    <w:rsid w:val="00BE7BA6"/>
    <w:rsid w:val="00C22EA1"/>
    <w:rsid w:val="00C72956"/>
    <w:rsid w:val="00C85AE2"/>
    <w:rsid w:val="00C957B8"/>
    <w:rsid w:val="00C96FC4"/>
    <w:rsid w:val="00CA2529"/>
    <w:rsid w:val="00CB2021"/>
    <w:rsid w:val="00CD2121"/>
    <w:rsid w:val="00CD2187"/>
    <w:rsid w:val="00CF3ED1"/>
    <w:rsid w:val="00D41207"/>
    <w:rsid w:val="00D615AD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168A"/>
    <w:rsid w:val="00F86C1E"/>
    <w:rsid w:val="00FC03D3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6C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C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C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C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7FB69-32B0-4327-8A78-D3F7D4E3E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58D9C-4912-431B-9F4F-955AD5960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550DA-B3E5-4FB2-B566-A98940F3D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087DDA-ED1F-466D-B4D8-30892CF7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2021-12-08T03:39:00Z</dcterms:created>
  <dcterms:modified xsi:type="dcterms:W3CDTF">2021-12-08T03:39:00Z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