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089"/>
        <w:gridCol w:w="3544"/>
        <w:gridCol w:w="3349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5CA354DF" w:rsidR="002F142C" w:rsidRPr="006B210D" w:rsidRDefault="00873BF4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873BF4">
              <w:rPr>
                <w:rFonts w:ascii="Arial" w:eastAsia="Verdana" w:hAnsi="Arial" w:cs="Arial"/>
                <w:b/>
                <w:sz w:val="24"/>
                <w:szCs w:val="24"/>
              </w:rPr>
              <w:t xml:space="preserve">Comparing Quantities to 10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D87FAD" w14:paraId="76008433" w14:textId="055E6395" w:rsidTr="00D87FAD">
        <w:trPr>
          <w:trHeight w:hRule="exact" w:val="2523"/>
        </w:trPr>
        <w:tc>
          <w:tcPr>
            <w:tcW w:w="308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FDC3156" w14:textId="77777777" w:rsidR="00873BF4" w:rsidRPr="00873BF4" w:rsidRDefault="00873BF4" w:rsidP="00873BF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73BF4">
              <w:rPr>
                <w:rFonts w:ascii="Arial" w:hAnsi="Arial" w:cs="Arial"/>
                <w:color w:val="626365"/>
                <w:sz w:val="19"/>
                <w:szCs w:val="19"/>
              </w:rPr>
              <w:t>Student turns over a domino,</w:t>
            </w:r>
          </w:p>
          <w:p w14:paraId="3E3111EE" w14:textId="63A4A6C5" w:rsidR="00873BF4" w:rsidRPr="00873BF4" w:rsidRDefault="00873BF4" w:rsidP="00873BF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73BF4">
              <w:rPr>
                <w:rFonts w:ascii="Arial" w:hAnsi="Arial" w:cs="Arial"/>
                <w:color w:val="626365"/>
                <w:sz w:val="19"/>
                <w:szCs w:val="19"/>
              </w:rPr>
              <w:t>but struggles to say the number</w:t>
            </w:r>
            <w:r w:rsidR="005C1C42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73BF4">
              <w:rPr>
                <w:rFonts w:ascii="Arial" w:hAnsi="Arial" w:cs="Arial"/>
                <w:color w:val="626365"/>
                <w:sz w:val="19"/>
                <w:szCs w:val="19"/>
              </w:rPr>
              <w:t>sequence starting with 1 and</w:t>
            </w:r>
            <w:r w:rsidR="005C1C42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73BF4">
              <w:rPr>
                <w:rFonts w:ascii="Arial" w:hAnsi="Arial" w:cs="Arial"/>
                <w:color w:val="626365"/>
                <w:sz w:val="19"/>
                <w:szCs w:val="19"/>
              </w:rPr>
              <w:t>counting forward.</w:t>
            </w:r>
          </w:p>
          <w:p w14:paraId="21FFF4FF" w14:textId="77777777" w:rsidR="00873BF4" w:rsidRDefault="00873BF4" w:rsidP="00873BF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7FC775D2" w:rsidR="00077B22" w:rsidRPr="00077B22" w:rsidRDefault="00873BF4" w:rsidP="00873BF4">
            <w:pPr>
              <w:pStyle w:val="Pa6"/>
              <w:ind w:left="275"/>
              <w:jc w:val="center"/>
            </w:pPr>
            <w:r w:rsidRPr="00873BF4">
              <w:rPr>
                <w:rFonts w:ascii="Arial" w:hAnsi="Arial" w:cs="Arial"/>
                <w:color w:val="626365"/>
                <w:sz w:val="19"/>
                <w:szCs w:val="19"/>
              </w:rPr>
              <w:t>“1, 2, 4, 6, 5, 7”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20AA37F" w14:textId="7545BF3B" w:rsidR="00077B22" w:rsidRPr="00873BF4" w:rsidRDefault="00873BF4" w:rsidP="00873BF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73BF4">
              <w:rPr>
                <w:rFonts w:ascii="Arial" w:hAnsi="Arial" w:cs="Arial"/>
                <w:color w:val="626365"/>
                <w:sz w:val="19"/>
                <w:szCs w:val="19"/>
              </w:rPr>
              <w:t>Student says the number sequence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73BF4">
              <w:rPr>
                <w:rFonts w:ascii="Arial" w:hAnsi="Arial" w:cs="Arial"/>
                <w:color w:val="626365"/>
                <w:sz w:val="19"/>
                <w:szCs w:val="19"/>
              </w:rPr>
              <w:t>forward, but struggles to coordinate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73BF4">
              <w:rPr>
                <w:rFonts w:ascii="Arial" w:hAnsi="Arial" w:cs="Arial"/>
                <w:color w:val="626365"/>
                <w:sz w:val="19"/>
                <w:szCs w:val="19"/>
              </w:rPr>
              <w:t>number words with counting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73BF4">
              <w:rPr>
                <w:rFonts w:ascii="Arial" w:hAnsi="Arial" w:cs="Arial"/>
                <w:color w:val="626365"/>
                <w:sz w:val="19"/>
                <w:szCs w:val="19"/>
              </w:rPr>
              <w:t>actions (e.g., loses track of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73BF4">
              <w:rPr>
                <w:rFonts w:ascii="Arial" w:hAnsi="Arial" w:cs="Arial"/>
                <w:color w:val="626365"/>
                <w:sz w:val="19"/>
                <w:szCs w:val="19"/>
              </w:rPr>
              <w:t>count, misses dots in the count, or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73BF4">
              <w:rPr>
                <w:rFonts w:ascii="Arial" w:hAnsi="Arial" w:cs="Arial"/>
                <w:color w:val="626365"/>
                <w:sz w:val="19"/>
                <w:szCs w:val="19"/>
              </w:rPr>
              <w:t>counts dots more than once).</w:t>
            </w:r>
          </w:p>
          <w:p w14:paraId="7F95AA5C" w14:textId="45A9D490" w:rsidR="00873BF4" w:rsidRPr="00873BF4" w:rsidRDefault="006B2F85" w:rsidP="00873BF4">
            <w:pPr>
              <w:pStyle w:val="Pa6"/>
              <w:ind w:left="275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6008231" wp14:editId="713F6116">
                  <wp:extent cx="1094726" cy="728004"/>
                  <wp:effectExtent l="0" t="0" r="0" b="8890"/>
                  <wp:docPr id="1" name="Picture 1" descr="../../../Mathology%202/BLM%20WORKING%20FILES/Assessment%20BLM%20art/Box1_assessmentBLM%20TR%20Art/m2_nINT_a04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1_assessmentBLM%20TR%20Art/m2_nINT_a04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726" cy="728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EC5FF5" w14:textId="71B4E09F" w:rsidR="00077B22" w:rsidRPr="00873BF4" w:rsidRDefault="00873BF4" w:rsidP="001D1EFB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73BF4">
              <w:rPr>
                <w:rFonts w:ascii="Arial" w:hAnsi="Arial" w:cs="Arial"/>
                <w:color w:val="626365"/>
                <w:sz w:val="19"/>
                <w:szCs w:val="19"/>
              </w:rPr>
              <w:t>Student perceptually compares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73BF4">
              <w:rPr>
                <w:rFonts w:ascii="Arial" w:hAnsi="Arial" w:cs="Arial"/>
                <w:color w:val="626365"/>
                <w:sz w:val="19"/>
                <w:szCs w:val="19"/>
              </w:rPr>
              <w:t>quantities.</w:t>
            </w:r>
          </w:p>
          <w:p w14:paraId="6E3EB05B" w14:textId="074E4AA7" w:rsidR="00873BF4" w:rsidRPr="00873BF4" w:rsidRDefault="006B2F85" w:rsidP="006B2F85">
            <w:pPr>
              <w:pStyle w:val="Pa6"/>
            </w:pPr>
            <w:r>
              <w:rPr>
                <w:noProof/>
                <w:lang w:val="en-US"/>
              </w:rPr>
              <w:drawing>
                <wp:inline distT="0" distB="0" distL="0" distR="0" wp14:anchorId="7039B707" wp14:editId="0FBE018D">
                  <wp:extent cx="1974850" cy="914400"/>
                  <wp:effectExtent l="0" t="0" r="6350" b="0"/>
                  <wp:docPr id="2" name="Picture 2" descr="../../../Mathology%202/BLM%20WORKING%20FILES/Assessment%20BLM%20art/Box1_assessmentBLM%20TR%20Art/m2_nINT_a04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1_assessmentBLM%20TR%20Art/m2_nINT_a04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192A6A2" w14:textId="77777777" w:rsidR="00077B22" w:rsidRDefault="00873BF4" w:rsidP="001D1EFB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73BF4">
              <w:rPr>
                <w:rFonts w:ascii="Arial" w:hAnsi="Arial" w:cs="Arial"/>
                <w:color w:val="626365"/>
                <w:sz w:val="19"/>
                <w:szCs w:val="19"/>
              </w:rPr>
              <w:t>Student compares quantities using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73BF4">
              <w:rPr>
                <w:rFonts w:ascii="Arial" w:hAnsi="Arial" w:cs="Arial"/>
                <w:color w:val="626365"/>
                <w:sz w:val="19"/>
                <w:szCs w:val="19"/>
              </w:rPr>
              <w:t>one-to-one matching.</w:t>
            </w:r>
          </w:p>
          <w:p w14:paraId="111EFC49" w14:textId="7ED46798" w:rsidR="006B2F85" w:rsidRPr="006B2F85" w:rsidRDefault="006B2F85" w:rsidP="00D87FAD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6555F9E" wp14:editId="21DF2EA6">
                  <wp:extent cx="1153092" cy="747982"/>
                  <wp:effectExtent l="0" t="0" r="0" b="0"/>
                  <wp:docPr id="4" name="Picture 4" descr="../../../Mathology%202/BLM%20WORKING%20FILES/Assessment%20BLM%20art/Box1_assessmentBLM%20TR%20Art/m2_nINT_a04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1_assessmentBLM%20TR%20Art/m2_nINT_a04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218" cy="764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454AF6" w14:paraId="06EBD03A" w14:textId="1A34967F" w:rsidTr="00454AF6">
        <w:trPr>
          <w:trHeight w:val="1362"/>
        </w:trPr>
        <w:tc>
          <w:tcPr>
            <w:tcW w:w="308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454AF6" w14:paraId="0D590949" w14:textId="7A8C382E" w:rsidTr="00D87FAD">
        <w:trPr>
          <w:trHeight w:hRule="exact" w:val="112"/>
        </w:trPr>
        <w:tc>
          <w:tcPr>
            <w:tcW w:w="3089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54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49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454AF6" w14:paraId="72AC45F2" w14:textId="68EB8330" w:rsidTr="00D87FAD">
        <w:trPr>
          <w:trHeight w:hRule="exact" w:val="2509"/>
        </w:trPr>
        <w:tc>
          <w:tcPr>
            <w:tcW w:w="308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733F588" w14:textId="16A2B7C1" w:rsidR="00077B22" w:rsidRPr="00873BF4" w:rsidRDefault="00873BF4" w:rsidP="00E0781D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73BF4">
              <w:rPr>
                <w:rFonts w:ascii="Arial" w:hAnsi="Arial" w:cs="Arial"/>
                <w:color w:val="626365"/>
                <w:sz w:val="19"/>
                <w:szCs w:val="19"/>
              </w:rPr>
              <w:t>Student compares quantities using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73BF4">
              <w:rPr>
                <w:rFonts w:ascii="Arial" w:hAnsi="Arial" w:cs="Arial"/>
                <w:color w:val="626365"/>
                <w:sz w:val="19"/>
                <w:szCs w:val="19"/>
              </w:rPr>
              <w:t>counting.</w:t>
            </w:r>
          </w:p>
          <w:p w14:paraId="040B9AF2" w14:textId="74339BDD" w:rsidR="00873BF4" w:rsidRPr="00873BF4" w:rsidRDefault="006B2F85" w:rsidP="006B2F85">
            <w:pPr>
              <w:pStyle w:val="Pa6"/>
            </w:pPr>
            <w:r>
              <w:rPr>
                <w:noProof/>
                <w:lang w:val="en-US"/>
              </w:rPr>
              <w:drawing>
                <wp:inline distT="0" distB="0" distL="0" distR="0" wp14:anchorId="71D01BE1" wp14:editId="5BCD9AED">
                  <wp:extent cx="1798452" cy="992329"/>
                  <wp:effectExtent l="0" t="0" r="5080" b="0"/>
                  <wp:docPr id="6" name="Picture 6" descr="../../../Mathology%202/BLM%20WORKING%20FILES/Assessment%20BLM%20art/Box1_assessmentBLM%20TR%20Art/m2_nINT_a04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1_assessmentBLM%20TR%20Art/m2_nINT_a04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044" cy="1000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716153C" w14:textId="00EADF68" w:rsidR="00C63C63" w:rsidRPr="00873BF4" w:rsidRDefault="00873BF4" w:rsidP="00873BF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73BF4">
              <w:rPr>
                <w:rFonts w:ascii="Arial" w:hAnsi="Arial" w:cs="Arial"/>
                <w:color w:val="626365"/>
                <w:sz w:val="19"/>
                <w:szCs w:val="19"/>
              </w:rPr>
              <w:t>Student uses grouping to compare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73BF4">
              <w:rPr>
                <w:rFonts w:ascii="Arial" w:hAnsi="Arial" w:cs="Arial"/>
                <w:color w:val="626365"/>
                <w:sz w:val="19"/>
                <w:szCs w:val="19"/>
              </w:rPr>
              <w:t>quantities without counting by 1s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73BF4">
              <w:rPr>
                <w:rFonts w:ascii="Arial" w:hAnsi="Arial" w:cs="Arial"/>
                <w:color w:val="626365"/>
                <w:sz w:val="19"/>
                <w:szCs w:val="19"/>
              </w:rPr>
              <w:t>(conceptual subitizing).</w:t>
            </w:r>
          </w:p>
          <w:p w14:paraId="63ED580B" w14:textId="05526CB5" w:rsidR="00873BF4" w:rsidRPr="00873BF4" w:rsidRDefault="00E0781D" w:rsidP="006822A4">
            <w:pPr>
              <w:pStyle w:val="Pa6"/>
              <w:ind w:left="275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3F8C9EA" wp14:editId="413C3DD1">
                  <wp:extent cx="1209026" cy="1096178"/>
                  <wp:effectExtent l="0" t="0" r="10795" b="0"/>
                  <wp:docPr id="8" name="Picture 8" descr="../../../Mathology%202/BLM%20WORKING%20FILES/Assessment%20BLM%20art/Box1_assessmentBLM%20TR%20Art/m2_nINT_a04_t05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Mathology%202/BLM%20WORKING%20FILES/Assessment%20BLM%20art/Box1_assessmentBLM%20TR%20Art/m2_nINT_a04_t05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471" cy="112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6B7BD6" w14:textId="2FDB9CD5" w:rsidR="00C63C63" w:rsidRPr="00873BF4" w:rsidRDefault="00873BF4" w:rsidP="00E0781D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73BF4">
              <w:rPr>
                <w:rFonts w:ascii="Arial" w:hAnsi="Arial" w:cs="Arial"/>
                <w:color w:val="626365"/>
                <w:sz w:val="19"/>
                <w:szCs w:val="19"/>
              </w:rPr>
              <w:t>Student compares quantities using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73BF4">
              <w:rPr>
                <w:rFonts w:ascii="Arial" w:hAnsi="Arial" w:cs="Arial"/>
                <w:color w:val="626365"/>
                <w:sz w:val="19"/>
                <w:szCs w:val="19"/>
              </w:rPr>
              <w:t>benchmarks.</w:t>
            </w:r>
          </w:p>
          <w:p w14:paraId="6EA2B2A5" w14:textId="55750092" w:rsidR="00873BF4" w:rsidRPr="00873BF4" w:rsidRDefault="00E0781D" w:rsidP="00873BF4">
            <w:pPr>
              <w:pStyle w:val="Pa6"/>
              <w:ind w:left="275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5DF9911" wp14:editId="7B57E91B">
                  <wp:extent cx="1652240" cy="1106629"/>
                  <wp:effectExtent l="0" t="0" r="0" b="11430"/>
                  <wp:docPr id="10" name="Picture 10" descr="../../../Mathology%202/BLM%20WORKING%20FILES/Assessment%20BLM%20art/Box1_assessmentBLM%20TR%20Art/m2_nINT_a04_t06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../../../Mathology%202/BLM%20WORKING%20FILES/Assessment%20BLM%20art/Box1_assessmentBLM%20TR%20Art/m2_nINT_a04_t06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161" cy="1122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8471317" w14:textId="77777777" w:rsidR="00873BF4" w:rsidRPr="00873BF4" w:rsidRDefault="00873BF4" w:rsidP="00873BF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73BF4">
              <w:rPr>
                <w:rFonts w:ascii="Arial" w:hAnsi="Arial" w:cs="Arial"/>
                <w:color w:val="626365"/>
                <w:sz w:val="19"/>
                <w:szCs w:val="19"/>
              </w:rPr>
              <w:t>Student uses mental strategies</w:t>
            </w:r>
          </w:p>
          <w:p w14:paraId="19B41AB2" w14:textId="77777777" w:rsidR="00873BF4" w:rsidRPr="00873BF4" w:rsidRDefault="00873BF4" w:rsidP="00873BF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73BF4">
              <w:rPr>
                <w:rFonts w:ascii="Arial" w:hAnsi="Arial" w:cs="Arial"/>
                <w:color w:val="626365"/>
                <w:sz w:val="19"/>
                <w:szCs w:val="19"/>
              </w:rPr>
              <w:t>to successfully and efficiently</w:t>
            </w:r>
          </w:p>
          <w:p w14:paraId="726CD945" w14:textId="77777777" w:rsidR="00974D31" w:rsidRPr="00873BF4" w:rsidRDefault="00873BF4" w:rsidP="00E0781D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73BF4">
              <w:rPr>
                <w:rFonts w:ascii="Arial" w:hAnsi="Arial" w:cs="Arial"/>
                <w:color w:val="626365"/>
                <w:sz w:val="19"/>
                <w:szCs w:val="19"/>
              </w:rPr>
              <w:t>compare quantities to 10.</w:t>
            </w:r>
          </w:p>
          <w:p w14:paraId="2E14A7D3" w14:textId="50EE4DB0" w:rsidR="00873BF4" w:rsidRPr="00873BF4" w:rsidRDefault="00E0781D" w:rsidP="006822A4">
            <w:pPr>
              <w:pStyle w:val="Pa6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E0C1694" wp14:editId="707EFDF0">
                  <wp:extent cx="1558600" cy="598882"/>
                  <wp:effectExtent l="0" t="0" r="0" b="10795"/>
                  <wp:docPr id="11" name="Picture 11" descr="../../../Mathology%202/BLM%20WORKING%20FILES/Assessment%20BLM%20art/Box1_assessmentBLM%20TR%20Art/m2_nINT_a04_t07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../../../Mathology%202/BLM%20WORKING%20FILES/Assessment%20BLM%20art/Box1_assessmentBLM%20TR%20Art/m2_nINT_a04_t07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648" cy="636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87FAD" w14:paraId="2FDA25CD" w14:textId="63F00DFD" w:rsidTr="00454AF6">
        <w:trPr>
          <w:trHeight w:val="1409"/>
        </w:trPr>
        <w:tc>
          <w:tcPr>
            <w:tcW w:w="3089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49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8C248F" w14:textId="77777777" w:rsidR="006D5EC2" w:rsidRDefault="006D5EC2" w:rsidP="00CA2529">
      <w:pPr>
        <w:spacing w:after="0" w:line="240" w:lineRule="auto"/>
      </w:pPr>
      <w:r>
        <w:separator/>
      </w:r>
    </w:p>
  </w:endnote>
  <w:endnote w:type="continuationSeparator" w:id="0">
    <w:p w14:paraId="1F1C3BBA" w14:textId="77777777" w:rsidR="006D5EC2" w:rsidRDefault="006D5EC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262BC4" w14:textId="77777777" w:rsidR="006D5EC2" w:rsidRDefault="006D5EC2" w:rsidP="00CA2529">
      <w:pPr>
        <w:spacing w:after="0" w:line="240" w:lineRule="auto"/>
      </w:pPr>
      <w:r>
        <w:separator/>
      </w:r>
    </w:p>
  </w:footnote>
  <w:footnote w:type="continuationSeparator" w:id="0">
    <w:p w14:paraId="124659A2" w14:textId="77777777" w:rsidR="006D5EC2" w:rsidRDefault="006D5EC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06DA9450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873BF4">
      <w:rPr>
        <w:rFonts w:ascii="Arial" w:hAnsi="Arial" w:cs="Arial"/>
        <w:b/>
        <w:sz w:val="36"/>
        <w:szCs w:val="36"/>
      </w:rPr>
      <w:t>9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077B22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873BF4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44AD25D" w:rsidR="00CA2529" w:rsidRPr="00E71CBF" w:rsidRDefault="00873BF4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Who Has More?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0392D"/>
    <w:rsid w:val="00050E5C"/>
    <w:rsid w:val="00053328"/>
    <w:rsid w:val="00077B22"/>
    <w:rsid w:val="0008174D"/>
    <w:rsid w:val="00097C8F"/>
    <w:rsid w:val="000C2970"/>
    <w:rsid w:val="000C7349"/>
    <w:rsid w:val="000F43C1"/>
    <w:rsid w:val="00112FF1"/>
    <w:rsid w:val="00170340"/>
    <w:rsid w:val="00171CEC"/>
    <w:rsid w:val="00184460"/>
    <w:rsid w:val="00192706"/>
    <w:rsid w:val="001A7920"/>
    <w:rsid w:val="001D1EFB"/>
    <w:rsid w:val="00207CC0"/>
    <w:rsid w:val="002536C7"/>
    <w:rsid w:val="00254851"/>
    <w:rsid w:val="00270D20"/>
    <w:rsid w:val="0028676E"/>
    <w:rsid w:val="002B19A5"/>
    <w:rsid w:val="002C432C"/>
    <w:rsid w:val="002C4CB2"/>
    <w:rsid w:val="002D1871"/>
    <w:rsid w:val="002F142C"/>
    <w:rsid w:val="003014A9"/>
    <w:rsid w:val="00345039"/>
    <w:rsid w:val="003F79B3"/>
    <w:rsid w:val="00454AF6"/>
    <w:rsid w:val="00483555"/>
    <w:rsid w:val="004959B6"/>
    <w:rsid w:val="0052693C"/>
    <w:rsid w:val="00543A9A"/>
    <w:rsid w:val="00553D67"/>
    <w:rsid w:val="00581577"/>
    <w:rsid w:val="005B3A77"/>
    <w:rsid w:val="005B7D0F"/>
    <w:rsid w:val="005C1C42"/>
    <w:rsid w:val="00644905"/>
    <w:rsid w:val="00661689"/>
    <w:rsid w:val="006822A4"/>
    <w:rsid w:val="00696ABC"/>
    <w:rsid w:val="006B210D"/>
    <w:rsid w:val="006B2F85"/>
    <w:rsid w:val="006D5EC2"/>
    <w:rsid w:val="00741178"/>
    <w:rsid w:val="0076731B"/>
    <w:rsid w:val="007A6B78"/>
    <w:rsid w:val="00813E59"/>
    <w:rsid w:val="00832B16"/>
    <w:rsid w:val="00873BF4"/>
    <w:rsid w:val="00875807"/>
    <w:rsid w:val="0092323E"/>
    <w:rsid w:val="00974D31"/>
    <w:rsid w:val="0098142D"/>
    <w:rsid w:val="00994C77"/>
    <w:rsid w:val="009B6FF8"/>
    <w:rsid w:val="009B72A0"/>
    <w:rsid w:val="00A17B4E"/>
    <w:rsid w:val="00A20BE1"/>
    <w:rsid w:val="00A43E96"/>
    <w:rsid w:val="00A871D3"/>
    <w:rsid w:val="00AE494A"/>
    <w:rsid w:val="00B62B98"/>
    <w:rsid w:val="00B9593A"/>
    <w:rsid w:val="00BA072D"/>
    <w:rsid w:val="00BA10A4"/>
    <w:rsid w:val="00BD5ACB"/>
    <w:rsid w:val="00BE7BA6"/>
    <w:rsid w:val="00C63C63"/>
    <w:rsid w:val="00C72956"/>
    <w:rsid w:val="00C85AE2"/>
    <w:rsid w:val="00C957B8"/>
    <w:rsid w:val="00C9589A"/>
    <w:rsid w:val="00CA2529"/>
    <w:rsid w:val="00CB2021"/>
    <w:rsid w:val="00CD2187"/>
    <w:rsid w:val="00CF3ED1"/>
    <w:rsid w:val="00D7596A"/>
    <w:rsid w:val="00D87FAD"/>
    <w:rsid w:val="00DA1368"/>
    <w:rsid w:val="00DB4EC8"/>
    <w:rsid w:val="00DD6F23"/>
    <w:rsid w:val="00DE3F74"/>
    <w:rsid w:val="00E0781D"/>
    <w:rsid w:val="00E16179"/>
    <w:rsid w:val="00E21446"/>
    <w:rsid w:val="00E21EE5"/>
    <w:rsid w:val="00E45E3B"/>
    <w:rsid w:val="00E51D51"/>
    <w:rsid w:val="00E613E3"/>
    <w:rsid w:val="00E71CBF"/>
    <w:rsid w:val="00EE14AA"/>
    <w:rsid w:val="00EE29C2"/>
    <w:rsid w:val="00F10556"/>
    <w:rsid w:val="00F358C6"/>
    <w:rsid w:val="00F86C1E"/>
    <w:rsid w:val="00FD2B2E"/>
    <w:rsid w:val="00FE0BBF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2536C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6C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6C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6C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6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8A4E9-F94B-4116-BA7E-998D0E1AE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33</cp:revision>
  <cp:lastPrinted>2016-08-23T12:28:00Z</cp:lastPrinted>
  <dcterms:created xsi:type="dcterms:W3CDTF">2018-05-15T13:10:00Z</dcterms:created>
  <dcterms:modified xsi:type="dcterms:W3CDTF">2018-07-17T18:40:00Z</dcterms:modified>
</cp:coreProperties>
</file>