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Events Using the Language of Chance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1E83FD21" w:rsidR="000C7BEC" w:rsidRDefault="000C7BEC" w:rsidP="002461F7">
      <w:pPr>
        <w:rPr>
          <w:sz w:val="4"/>
          <w:szCs w:val="4"/>
        </w:rPr>
      </w:pPr>
    </w:p>
    <w:p w14:paraId="48929668" w14:textId="77777777" w:rsidR="000C7BEC" w:rsidRDefault="000C7BEC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0DD2291" w14:textId="3AA0EF32" w:rsidR="007D59F8" w:rsidRDefault="007D59F8" w:rsidP="002461F7">
      <w:pPr>
        <w:rPr>
          <w:sz w:val="4"/>
          <w:szCs w:val="4"/>
        </w:rPr>
      </w:pPr>
    </w:p>
    <w:p w14:paraId="4B051BB8" w14:textId="1E05316C" w:rsidR="000C7BEC" w:rsidRDefault="000C7BEC" w:rsidP="002461F7">
      <w:pPr>
        <w:rPr>
          <w:sz w:val="4"/>
          <w:szCs w:val="4"/>
        </w:rPr>
      </w:pPr>
    </w:p>
    <w:p w14:paraId="4845ABF7" w14:textId="33E2F142" w:rsidR="000C7BEC" w:rsidRDefault="000C7BEC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C7BEC" w:rsidRPr="00D7596A" w14:paraId="4140EBD6" w14:textId="77777777" w:rsidTr="00CC53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EA3004" w14:textId="1B037C2B" w:rsidR="000C7BEC" w:rsidRDefault="0041571B" w:rsidP="00CC53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Drawing Conclusions Based on Data</w:t>
            </w:r>
          </w:p>
        </w:tc>
      </w:tr>
      <w:tr w:rsidR="000C7BEC" w:rsidRPr="002F051B" w14:paraId="5397FE16" w14:textId="77777777" w:rsidTr="00C32BB2">
        <w:trPr>
          <w:trHeight w:hRule="exact" w:val="554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D80BD" w14:textId="77777777" w:rsidR="0041571B" w:rsidRPr="00233F27" w:rsidRDefault="0041571B" w:rsidP="0041571B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Asks and answers simple questions about an experiment </w:t>
            </w:r>
          </w:p>
          <w:p w14:paraId="2F9C2062" w14:textId="135C6C9B" w:rsidR="000C7BEC" w:rsidRPr="00233F27" w:rsidRDefault="00282512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  <w:lang w:val="en-CA"/>
              </w:rPr>
              <w:drawing>
                <wp:inline distT="0" distB="0" distL="0" distR="0" wp14:anchorId="5BBF3625" wp14:editId="518D205A">
                  <wp:extent cx="1974850" cy="101219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314D7" w14:textId="77777777" w:rsidR="00D005DA" w:rsidRPr="00233F27" w:rsidRDefault="00D005DA" w:rsidP="00233F27">
            <w:pPr>
              <w:pStyle w:val="CommentText"/>
              <w:jc w:val="center"/>
              <w:rPr>
                <w:rFonts w:ascii="Arial" w:eastAsiaTheme="minorHAnsi" w:hAnsi="Arial" w:cs="Arial"/>
                <w:color w:val="7F7F7F" w:themeColor="text1" w:themeTint="80"/>
                <w:sz w:val="19"/>
                <w:szCs w:val="19"/>
                <w:lang w:val="en-CA" w:eastAsia="en-US"/>
              </w:rPr>
            </w:pPr>
            <w:r w:rsidRPr="00233F27">
              <w:rPr>
                <w:rFonts w:ascii="Arial" w:eastAsiaTheme="minorHAnsi" w:hAnsi="Arial" w:cs="Arial"/>
                <w:color w:val="7F7F7F" w:themeColor="text1" w:themeTint="80"/>
                <w:sz w:val="19"/>
                <w:szCs w:val="19"/>
                <w:lang w:val="en-CA" w:eastAsia="en-US"/>
              </w:rPr>
              <w:t>“If I toss the coin, I could get heads or tails. Getting heads or tails is equally likely.”</w:t>
            </w:r>
          </w:p>
          <w:p w14:paraId="0C93294A" w14:textId="77777777" w:rsidR="00D005DA" w:rsidRPr="00233F27" w:rsidRDefault="00D005DA" w:rsidP="00D005DA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  <w:p w14:paraId="20D0FB42" w14:textId="20FD4711" w:rsidR="00D005DA" w:rsidRPr="00233F27" w:rsidRDefault="00D005DA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C86999" w14:textId="77777777" w:rsidR="004D4C78" w:rsidRPr="00233F27" w:rsidRDefault="004D4C78" w:rsidP="004D4C78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simple decisions based on data</w:t>
            </w:r>
          </w:p>
          <w:p w14:paraId="11B4E999" w14:textId="77777777" w:rsidR="000C7BEC" w:rsidRPr="00233F27" w:rsidRDefault="000C7BEC" w:rsidP="00CC53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  <w:p w14:paraId="647253B1" w14:textId="77777777" w:rsidR="00863042" w:rsidRPr="00233F27" w:rsidRDefault="00863042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can roll a 1, 2, 3, 4, 5, or 6.</w:t>
            </w:r>
          </w:p>
          <w:p w14:paraId="1101A796" w14:textId="7FB60058" w:rsidR="00863042" w:rsidRPr="00233F27" w:rsidRDefault="00863042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I would choose to roll a number less than 5 rather than a number greater than 5 because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I’m more likely to be right.”</w:t>
            </w:r>
          </w:p>
          <w:p w14:paraId="70570C61" w14:textId="08BE905D" w:rsidR="00863042" w:rsidRPr="00233F27" w:rsidRDefault="00863042" w:rsidP="00863042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F4C5C2" w14:textId="77777777" w:rsidR="00D67612" w:rsidRPr="00233F27" w:rsidRDefault="00D67612" w:rsidP="00D6761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Connects fairness of a game to </w:t>
            </w:r>
            <w:proofErr w:type="gramStart"/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equally-likely</w:t>
            </w:r>
            <w:proofErr w:type="gramEnd"/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outcomes </w:t>
            </w:r>
          </w:p>
          <w:p w14:paraId="569CABA1" w14:textId="2E6A14B8" w:rsidR="000C7BEC" w:rsidRPr="00233F27" w:rsidRDefault="005D1816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10672037" wp14:editId="5F4B8637">
                  <wp:extent cx="1974850" cy="1438910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1295C" w14:textId="128FC72C" w:rsidR="00B72909" w:rsidRPr="00233F27" w:rsidRDefault="00B72909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“There is an equal chance of landing on green or blue because they cover the same amount of space.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So, if I need to land on green and my partner on blue, the game is fair. In 12 spins, I expect the pointer to land on green 4 times </w:t>
            </w:r>
            <w:r w:rsid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and on blue 4 times.”</w:t>
            </w:r>
          </w:p>
          <w:p w14:paraId="74338684" w14:textId="673425D8" w:rsidR="00B72909" w:rsidRPr="00233F27" w:rsidRDefault="00B72909" w:rsidP="00CC5386">
            <w:pPr>
              <w:pStyle w:val="TableParagraph"/>
              <w:rPr>
                <w:rFonts w:ascii="Arial" w:hAnsi="Arial" w:cs="Arial"/>
                <w:color w:val="7F7F7F" w:themeColor="text1" w:themeTint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F6321" w14:textId="77777777" w:rsidR="0007715A" w:rsidRPr="00233F27" w:rsidRDefault="0007715A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Creates a game that is fair or unfair and justifies why it is or isn’t fair</w:t>
            </w:r>
          </w:p>
          <w:p w14:paraId="7CA9971D" w14:textId="69EE865D" w:rsidR="0007715A" w:rsidRPr="00233F27" w:rsidRDefault="00282512" w:rsidP="00CC5386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7EA592E5" wp14:editId="4202A2CF">
                  <wp:extent cx="1974129" cy="1034265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63" b="16433"/>
                          <a:stretch/>
                        </pic:blipFill>
                        <pic:spPr bwMode="auto">
                          <a:xfrm>
                            <a:off x="0" y="0"/>
                            <a:ext cx="1974850" cy="103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D957DE" w14:textId="77777777" w:rsidR="00EA18CE" w:rsidRPr="00233F27" w:rsidRDefault="00EA18CE" w:rsidP="00EA18CE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“Fair: rolling an even number or rolling an odd number because the outcomes are equally likely.”</w:t>
            </w:r>
          </w:p>
          <w:p w14:paraId="445A52DE" w14:textId="616BBA2C" w:rsidR="0007715A" w:rsidRPr="00233F27" w:rsidRDefault="00282512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7CD2277C" wp14:editId="441034C5">
                  <wp:extent cx="1974213" cy="1078786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82" b="15721"/>
                          <a:stretch/>
                        </pic:blipFill>
                        <pic:spPr bwMode="auto">
                          <a:xfrm>
                            <a:off x="0" y="0"/>
                            <a:ext cx="1974850" cy="107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29FA78" w14:textId="77777777" w:rsidR="00233F27" w:rsidRPr="00233F27" w:rsidRDefault="00233F27" w:rsidP="00233F27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233F27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“Unfair: rolling an even number or rolling an odd number because it is more likely for the pointer to land on an even number.”</w:t>
            </w:r>
          </w:p>
          <w:p w14:paraId="19F7D44B" w14:textId="7CF4547E" w:rsidR="00233F27" w:rsidRPr="00233F27" w:rsidRDefault="00233F27" w:rsidP="0007715A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0C7BEC" w:rsidRPr="002F051B" w14:paraId="3338FB76" w14:textId="77777777" w:rsidTr="00CC538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FB7EB8" w14:textId="77777777" w:rsidR="000C7BEC" w:rsidRPr="00FA309D" w:rsidRDefault="000C7BEC" w:rsidP="00CC538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C7BEC" w14:paraId="3E13C6F9" w14:textId="77777777" w:rsidTr="00CC5386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3B490" w14:textId="77777777" w:rsidR="000C7BEC" w:rsidRPr="00B1485A" w:rsidRDefault="000C7BEC" w:rsidP="00CC53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2B1DC" w14:textId="77777777" w:rsidR="000C7BEC" w:rsidRPr="00B64C00" w:rsidRDefault="000C7BEC" w:rsidP="00CC538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E0B95" w14:textId="77777777" w:rsidR="000C7BEC" w:rsidRPr="00B64C00" w:rsidRDefault="000C7BEC" w:rsidP="00CC538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F119E" w14:textId="77777777" w:rsidR="000C7BEC" w:rsidRPr="00B1485A" w:rsidRDefault="000C7BEC" w:rsidP="00CC53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4E323E" w14:textId="77777777" w:rsidR="000C7BEC" w:rsidRPr="00AA5CD1" w:rsidRDefault="000C7BEC" w:rsidP="002461F7">
      <w:pPr>
        <w:rPr>
          <w:sz w:val="4"/>
          <w:szCs w:val="4"/>
        </w:rPr>
      </w:pPr>
    </w:p>
    <w:sectPr w:rsidR="000C7BEC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7013ADA5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B4394A">
      <w:rPr>
        <w:rFonts w:ascii="Arial" w:hAnsi="Arial" w:cs="Arial"/>
        <w:b/>
        <w:sz w:val="36"/>
        <w:szCs w:val="36"/>
      </w:rPr>
      <w:t>10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6C64B1DE" w:rsidR="00E613E3" w:rsidRPr="00E71CBF" w:rsidRDefault="00B4394A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715A"/>
    <w:rsid w:val="00080222"/>
    <w:rsid w:val="0008174D"/>
    <w:rsid w:val="0008725B"/>
    <w:rsid w:val="000931EC"/>
    <w:rsid w:val="00097C8F"/>
    <w:rsid w:val="000C1BF6"/>
    <w:rsid w:val="000C2970"/>
    <w:rsid w:val="000C7349"/>
    <w:rsid w:val="000C7BEC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33F27"/>
    <w:rsid w:val="00242B2C"/>
    <w:rsid w:val="002461F7"/>
    <w:rsid w:val="00254851"/>
    <w:rsid w:val="00270D20"/>
    <w:rsid w:val="002760FF"/>
    <w:rsid w:val="0028196A"/>
    <w:rsid w:val="00282512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571B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4C78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1816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63042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4394A"/>
    <w:rsid w:val="00B546EB"/>
    <w:rsid w:val="00B56F6C"/>
    <w:rsid w:val="00B64C00"/>
    <w:rsid w:val="00B72909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03691"/>
    <w:rsid w:val="00C32BB2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05DA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612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A18CE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2283E-A8AA-4C2C-A602-71C2B96916F6}"/>
</file>

<file path=customXml/itemProps3.xml><?xml version="1.0" encoding="utf-8"?>
<ds:datastoreItem xmlns:ds="http://schemas.openxmlformats.org/officeDocument/2006/customXml" ds:itemID="{FE88F945-D646-4590-80A3-7F4579A7757C}"/>
</file>

<file path=customXml/itemProps4.xml><?xml version="1.0" encoding="utf-8"?>
<ds:datastoreItem xmlns:ds="http://schemas.openxmlformats.org/officeDocument/2006/customXml" ds:itemID="{162CC80B-A537-4AB4-8D5C-7169D808D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307</Words>
  <Characters>1693</Characters>
  <Application>Microsoft Office Word</Application>
  <DocSecurity>0</DocSecurity>
  <Lines>153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261</cp:revision>
  <cp:lastPrinted>2016-08-23T12:28:00Z</cp:lastPrinted>
  <dcterms:created xsi:type="dcterms:W3CDTF">2018-06-22T18:41:00Z</dcterms:created>
  <dcterms:modified xsi:type="dcterms:W3CDTF">2021-11-01T03:09:00Z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